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20" w:lineRule="atLeast"/>
        <w:jc w:val="left"/>
        <w:rPr>
          <w:rFonts w:hAnsi="黑体" w:eastAsia="黑体"/>
          <w:b/>
          <w:bCs/>
          <w:color w:val="000000"/>
          <w:spacing w:val="15"/>
          <w:kern w:val="0"/>
          <w:sz w:val="32"/>
          <w:szCs w:val="32"/>
        </w:rPr>
      </w:pPr>
      <w:r>
        <w:rPr>
          <w:rFonts w:hint="eastAsia" w:ascii="黑体" w:hAnsi="黑体" w:eastAsia="黑体"/>
          <w:bCs/>
          <w:color w:val="000000"/>
          <w:spacing w:val="15"/>
          <w:kern w:val="0"/>
          <w:sz w:val="32"/>
          <w:szCs w:val="32"/>
        </w:rPr>
        <w:t>附件</w:t>
      </w:r>
      <w:r>
        <w:rPr>
          <w:rFonts w:ascii="黑体" w:hAnsi="黑体" w:eastAsia="黑体"/>
          <w:bCs/>
          <w:color w:val="000000"/>
          <w:spacing w:val="15"/>
          <w:kern w:val="0"/>
          <w:sz w:val="32"/>
          <w:szCs w:val="32"/>
        </w:rPr>
        <w:t>2</w:t>
      </w:r>
    </w:p>
    <w:p>
      <w:pPr>
        <w:widowControl/>
        <w:shd w:val="clear" w:color="auto" w:fill="FFFFFF"/>
        <w:spacing w:line="420" w:lineRule="atLeast"/>
        <w:jc w:val="center"/>
        <w:rPr>
          <w:rFonts w:eastAsia="黑体"/>
          <w:b/>
          <w:bCs/>
          <w:color w:val="000000"/>
          <w:spacing w:val="15"/>
          <w:kern w:val="0"/>
          <w:sz w:val="32"/>
          <w:szCs w:val="32"/>
        </w:rPr>
      </w:pPr>
      <w:r>
        <w:rPr>
          <w:rFonts w:hint="eastAsia" w:hAnsi="黑体" w:eastAsia="黑体"/>
          <w:b/>
          <w:bCs/>
          <w:color w:val="000000"/>
          <w:spacing w:val="15"/>
          <w:kern w:val="0"/>
          <w:sz w:val="32"/>
          <w:szCs w:val="32"/>
        </w:rPr>
        <w:t>农业硕士</w:t>
      </w:r>
      <w:r>
        <w:rPr>
          <w:rFonts w:eastAsia="黑体"/>
          <w:b/>
          <w:bCs/>
          <w:color w:val="000000"/>
          <w:spacing w:val="15"/>
          <w:kern w:val="0"/>
          <w:sz w:val="32"/>
          <w:szCs w:val="32"/>
          <w:u w:val="single"/>
        </w:rPr>
        <w:t xml:space="preserve"> </w:t>
      </w:r>
      <w:r>
        <w:rPr>
          <w:rFonts w:hint="eastAsia" w:eastAsia="黑体"/>
          <w:b/>
          <w:bCs/>
          <w:color w:val="000000"/>
          <w:spacing w:val="15"/>
          <w:kern w:val="0"/>
          <w:sz w:val="32"/>
          <w:szCs w:val="32"/>
          <w:u w:val="single"/>
        </w:rPr>
        <w:t>渔业发展</w:t>
      </w:r>
      <w:r>
        <w:rPr>
          <w:rFonts w:eastAsia="黑体"/>
          <w:b/>
          <w:bCs/>
          <w:color w:val="000000"/>
          <w:spacing w:val="15"/>
          <w:kern w:val="0"/>
          <w:sz w:val="32"/>
          <w:szCs w:val="32"/>
          <w:u w:val="single"/>
        </w:rPr>
        <w:t xml:space="preserve"> </w:t>
      </w:r>
      <w:r>
        <w:rPr>
          <w:rFonts w:hint="eastAsia" w:hAnsi="黑体" w:eastAsia="黑体"/>
          <w:b/>
          <w:bCs/>
          <w:color w:val="000000"/>
          <w:spacing w:val="15"/>
          <w:kern w:val="0"/>
          <w:sz w:val="32"/>
          <w:szCs w:val="32"/>
        </w:rPr>
        <w:t>领域专业学位研究生培养方案</w:t>
      </w:r>
    </w:p>
    <w:p>
      <w:pPr>
        <w:widowControl/>
        <w:shd w:val="clear" w:color="auto" w:fill="FFFFFF"/>
        <w:spacing w:before="156" w:beforeLines="50" w:line="420" w:lineRule="atLeast"/>
        <w:jc w:val="center"/>
        <w:rPr>
          <w:rFonts w:eastAsia="黑体"/>
          <w:b/>
          <w:bCs/>
          <w:color w:val="000000"/>
          <w:spacing w:val="15"/>
          <w:kern w:val="0"/>
          <w:sz w:val="28"/>
          <w:szCs w:val="28"/>
        </w:rPr>
      </w:pPr>
      <w:r>
        <w:rPr>
          <w:rFonts w:hint="eastAsia" w:hAnsi="黑体" w:eastAsia="黑体"/>
          <w:b/>
          <w:bCs/>
          <w:color w:val="000000"/>
          <w:spacing w:val="15"/>
          <w:kern w:val="0"/>
          <w:sz w:val="28"/>
          <w:szCs w:val="28"/>
        </w:rPr>
        <w:t>第一章</w:t>
      </w:r>
      <w:r>
        <w:rPr>
          <w:rFonts w:eastAsia="黑体"/>
          <w:b/>
          <w:bCs/>
          <w:color w:val="000000"/>
          <w:spacing w:val="15"/>
          <w:kern w:val="0"/>
          <w:sz w:val="28"/>
          <w:szCs w:val="28"/>
        </w:rPr>
        <w:t xml:space="preserve">  </w:t>
      </w:r>
      <w:r>
        <w:rPr>
          <w:rFonts w:hint="eastAsia" w:hAnsi="黑体" w:eastAsia="黑体"/>
          <w:b/>
          <w:bCs/>
          <w:color w:val="000000"/>
          <w:spacing w:val="15"/>
          <w:kern w:val="0"/>
          <w:sz w:val="28"/>
          <w:szCs w:val="28"/>
        </w:rPr>
        <w:t>学位授予基本要求</w:t>
      </w:r>
    </w:p>
    <w:p>
      <w:pPr>
        <w:widowControl/>
        <w:shd w:val="clear" w:color="auto" w:fill="FFFFFF"/>
        <w:spacing w:line="420" w:lineRule="atLeast"/>
        <w:jc w:val="center"/>
        <w:rPr>
          <w:rFonts w:eastAsia="黑体"/>
          <w:b/>
          <w:bCs/>
          <w:color w:val="000000"/>
          <w:spacing w:val="15"/>
          <w:kern w:val="0"/>
          <w:sz w:val="24"/>
        </w:rPr>
      </w:pPr>
      <w:r>
        <w:rPr>
          <w:rFonts w:hint="eastAsia" w:hAnsi="黑体" w:eastAsia="黑体"/>
          <w:b/>
          <w:bCs/>
          <w:color w:val="000000"/>
          <w:spacing w:val="15"/>
          <w:kern w:val="0"/>
          <w:sz w:val="24"/>
        </w:rPr>
        <w:t>第一部分</w:t>
      </w:r>
      <w:r>
        <w:rPr>
          <w:rFonts w:eastAsia="黑体"/>
          <w:b/>
          <w:bCs/>
          <w:color w:val="000000"/>
          <w:spacing w:val="15"/>
          <w:kern w:val="0"/>
          <w:sz w:val="24"/>
        </w:rPr>
        <w:t xml:space="preserve"> </w:t>
      </w:r>
      <w:r>
        <w:rPr>
          <w:rFonts w:hint="eastAsia" w:hAnsi="黑体" w:eastAsia="黑体"/>
          <w:b/>
          <w:bCs/>
          <w:color w:val="000000"/>
          <w:spacing w:val="15"/>
          <w:kern w:val="0"/>
          <w:sz w:val="24"/>
        </w:rPr>
        <w:t>领域概况与培养方向</w:t>
      </w:r>
    </w:p>
    <w:p>
      <w:pPr>
        <w:widowControl/>
        <w:shd w:val="clear" w:color="auto" w:fill="FFFFFF"/>
        <w:spacing w:line="380" w:lineRule="atLeast"/>
        <w:jc w:val="left"/>
        <w:rPr>
          <w:rFonts w:hAnsi="黑体" w:eastAsia="黑体"/>
          <w:b/>
          <w:bCs/>
          <w:color w:val="000000"/>
          <w:spacing w:val="15"/>
          <w:kern w:val="0"/>
          <w:szCs w:val="21"/>
        </w:rPr>
      </w:pPr>
      <w:r>
        <w:rPr>
          <w:rFonts w:hAnsi="黑体" w:eastAsia="黑体"/>
          <w:b/>
          <w:bCs/>
          <w:color w:val="000000"/>
          <w:spacing w:val="15"/>
          <w:kern w:val="0"/>
          <w:szCs w:val="21"/>
        </w:rPr>
        <w:t xml:space="preserve">    </w:t>
      </w:r>
      <w:r>
        <w:rPr>
          <w:rFonts w:hint="eastAsia" w:hAnsi="黑体" w:eastAsia="黑体"/>
          <w:b/>
          <w:bCs/>
          <w:color w:val="000000"/>
          <w:spacing w:val="15"/>
          <w:kern w:val="0"/>
          <w:szCs w:val="21"/>
        </w:rPr>
        <w:t>一、领域概况</w:t>
      </w:r>
    </w:p>
    <w:p>
      <w:pPr>
        <w:widowControl/>
        <w:shd w:val="clear" w:color="auto" w:fill="FFFFFF"/>
        <w:spacing w:line="380" w:lineRule="atLeast"/>
        <w:ind w:firstLine="480" w:firstLineChars="200"/>
        <w:jc w:val="left"/>
        <w:rPr>
          <w:rFonts w:eastAsia="黑体"/>
          <w:bCs/>
          <w:color w:val="000000"/>
          <w:spacing w:val="15"/>
          <w:kern w:val="0"/>
          <w:szCs w:val="21"/>
        </w:rPr>
      </w:pPr>
      <w:r>
        <w:rPr>
          <w:rFonts w:hint="eastAsia" w:eastAsia="黑体"/>
          <w:bCs/>
          <w:color w:val="000000"/>
          <w:spacing w:val="15"/>
          <w:kern w:val="0"/>
          <w:szCs w:val="21"/>
        </w:rPr>
        <w:t>渔业是我国农业经济发展的主要领域，也是广大农村主要产业之一，直接关系到我国农村经济发展和农民的经济收入。该专业主要涉及鱼类饲养、育种繁殖与推广、饲料生产、渔业企业管理、水产品安全生产、养殖环境卫生、渔业生态等若干生产实践与相关技术领域，培养具备从事渔业生产、教育、科技研发、技术推广、管理等工作的技能，服务渔业、渔民和渔村的应用、复合型高层次人才。</w:t>
      </w:r>
    </w:p>
    <w:p>
      <w:pPr>
        <w:widowControl/>
        <w:shd w:val="clear" w:color="auto" w:fill="FFFFFF"/>
        <w:spacing w:line="380" w:lineRule="atLeast"/>
        <w:ind w:firstLine="555"/>
        <w:jc w:val="left"/>
        <w:rPr>
          <w:rFonts w:hAnsi="黑体" w:eastAsia="黑体"/>
          <w:b/>
          <w:bCs/>
          <w:color w:val="000000"/>
          <w:spacing w:val="15"/>
          <w:kern w:val="0"/>
          <w:szCs w:val="21"/>
        </w:rPr>
      </w:pPr>
      <w:r>
        <w:rPr>
          <w:rFonts w:hint="eastAsia" w:hAnsi="黑体" w:eastAsia="黑体"/>
          <w:b/>
          <w:bCs/>
          <w:color w:val="000000"/>
          <w:spacing w:val="15"/>
          <w:kern w:val="0"/>
          <w:szCs w:val="21"/>
        </w:rPr>
        <w:t>二、培养方向</w:t>
      </w:r>
    </w:p>
    <w:p>
      <w:pPr>
        <w:widowControl/>
        <w:shd w:val="clear" w:color="auto" w:fill="FFFFFF"/>
        <w:spacing w:line="380" w:lineRule="atLeast"/>
        <w:ind w:firstLine="555"/>
        <w:jc w:val="left"/>
        <w:rPr>
          <w:rFonts w:eastAsia="黑体"/>
          <w:bCs/>
          <w:color w:val="000000"/>
          <w:spacing w:val="15"/>
          <w:kern w:val="0"/>
          <w:szCs w:val="21"/>
        </w:rPr>
      </w:pPr>
      <w:r>
        <w:rPr>
          <w:rFonts w:hint="eastAsia" w:eastAsia="黑体"/>
          <w:bCs/>
          <w:color w:val="000000"/>
          <w:spacing w:val="15"/>
          <w:kern w:val="0"/>
          <w:szCs w:val="21"/>
        </w:rPr>
        <w:t>渔业发展学科下设五个培养方向：</w:t>
      </w:r>
    </w:p>
    <w:p>
      <w:pPr>
        <w:widowControl/>
        <w:shd w:val="clear" w:color="auto" w:fill="FFFFFF"/>
        <w:spacing w:line="380" w:lineRule="atLeast"/>
        <w:ind w:firstLine="555"/>
        <w:jc w:val="left"/>
        <w:rPr>
          <w:rFonts w:eastAsia="黑体"/>
          <w:bCs/>
          <w:color w:val="000000"/>
          <w:spacing w:val="15"/>
          <w:kern w:val="0"/>
          <w:szCs w:val="21"/>
        </w:rPr>
      </w:pPr>
      <w:r>
        <w:rPr>
          <w:rFonts w:eastAsia="黑体"/>
          <w:bCs/>
          <w:color w:val="000000"/>
          <w:spacing w:val="15"/>
          <w:kern w:val="0"/>
          <w:szCs w:val="21"/>
        </w:rPr>
        <w:t>1.</w:t>
      </w:r>
      <w:r>
        <w:rPr>
          <w:rFonts w:hint="eastAsia" w:eastAsia="黑体"/>
          <w:bCs/>
          <w:color w:val="000000"/>
          <w:spacing w:val="15"/>
          <w:kern w:val="0"/>
          <w:szCs w:val="21"/>
        </w:rPr>
        <w:t>水产养殖</w:t>
      </w:r>
    </w:p>
    <w:p>
      <w:pPr>
        <w:widowControl/>
        <w:shd w:val="clear" w:color="auto" w:fill="FFFFFF"/>
        <w:spacing w:line="380" w:lineRule="atLeast"/>
        <w:ind w:firstLine="555"/>
        <w:jc w:val="left"/>
        <w:rPr>
          <w:rFonts w:eastAsia="黑体"/>
          <w:bCs/>
          <w:color w:val="000000"/>
          <w:spacing w:val="15"/>
          <w:kern w:val="0"/>
          <w:szCs w:val="21"/>
        </w:rPr>
      </w:pPr>
      <w:r>
        <w:rPr>
          <w:rFonts w:eastAsia="黑体"/>
          <w:bCs/>
          <w:color w:val="000000"/>
          <w:spacing w:val="15"/>
          <w:kern w:val="0"/>
          <w:szCs w:val="21"/>
        </w:rPr>
        <w:t>2.</w:t>
      </w:r>
      <w:r>
        <w:rPr>
          <w:rFonts w:hint="eastAsia" w:eastAsia="黑体"/>
          <w:bCs/>
          <w:color w:val="000000"/>
          <w:spacing w:val="15"/>
          <w:kern w:val="0"/>
          <w:szCs w:val="21"/>
        </w:rPr>
        <w:t>水产动物遗传与育种</w:t>
      </w:r>
    </w:p>
    <w:p>
      <w:pPr>
        <w:widowControl/>
        <w:shd w:val="clear" w:color="auto" w:fill="FFFFFF"/>
        <w:spacing w:line="380" w:lineRule="atLeast"/>
        <w:ind w:firstLine="555"/>
        <w:jc w:val="left"/>
        <w:rPr>
          <w:rFonts w:eastAsia="黑体"/>
          <w:bCs/>
          <w:color w:val="000000"/>
          <w:spacing w:val="15"/>
          <w:kern w:val="0"/>
          <w:szCs w:val="21"/>
        </w:rPr>
      </w:pPr>
      <w:r>
        <w:rPr>
          <w:rFonts w:eastAsia="黑体"/>
          <w:bCs/>
          <w:color w:val="000000"/>
          <w:spacing w:val="15"/>
          <w:kern w:val="0"/>
          <w:szCs w:val="21"/>
        </w:rPr>
        <w:t>3.</w:t>
      </w:r>
      <w:r>
        <w:rPr>
          <w:rFonts w:hint="eastAsia" w:eastAsia="黑体"/>
          <w:bCs/>
          <w:color w:val="000000"/>
          <w:spacing w:val="15"/>
          <w:kern w:val="0"/>
          <w:szCs w:val="21"/>
        </w:rPr>
        <w:t>水产动物营养与饲料</w:t>
      </w:r>
    </w:p>
    <w:p>
      <w:pPr>
        <w:widowControl/>
        <w:shd w:val="clear" w:color="auto" w:fill="FFFFFF"/>
        <w:spacing w:line="380" w:lineRule="atLeast"/>
        <w:ind w:firstLine="555"/>
        <w:jc w:val="left"/>
        <w:rPr>
          <w:rFonts w:eastAsia="黑体"/>
          <w:bCs/>
          <w:color w:val="000000"/>
          <w:spacing w:val="15"/>
          <w:kern w:val="0"/>
          <w:szCs w:val="21"/>
        </w:rPr>
      </w:pPr>
      <w:r>
        <w:rPr>
          <w:rFonts w:eastAsia="黑体"/>
          <w:bCs/>
          <w:color w:val="000000"/>
          <w:spacing w:val="15"/>
          <w:kern w:val="0"/>
          <w:szCs w:val="21"/>
        </w:rPr>
        <w:t>4.</w:t>
      </w:r>
      <w:r>
        <w:rPr>
          <w:rFonts w:hint="eastAsia" w:eastAsia="黑体"/>
          <w:bCs/>
          <w:color w:val="000000"/>
          <w:spacing w:val="15"/>
          <w:kern w:val="0"/>
          <w:szCs w:val="21"/>
        </w:rPr>
        <w:t>渔业资源养护与利用</w:t>
      </w:r>
    </w:p>
    <w:p>
      <w:pPr>
        <w:widowControl/>
        <w:shd w:val="clear" w:color="auto" w:fill="FFFFFF"/>
        <w:spacing w:line="380" w:lineRule="atLeast"/>
        <w:ind w:firstLine="555"/>
        <w:jc w:val="left"/>
        <w:rPr>
          <w:rFonts w:eastAsia="黑体"/>
          <w:bCs/>
          <w:color w:val="000000"/>
          <w:spacing w:val="15"/>
          <w:kern w:val="0"/>
          <w:szCs w:val="21"/>
        </w:rPr>
      </w:pPr>
      <w:r>
        <w:rPr>
          <w:rFonts w:eastAsia="黑体"/>
          <w:bCs/>
          <w:color w:val="000000"/>
          <w:spacing w:val="15"/>
          <w:kern w:val="0"/>
          <w:szCs w:val="21"/>
        </w:rPr>
        <w:t>5.</w:t>
      </w:r>
      <w:r>
        <w:rPr>
          <w:rFonts w:hint="eastAsia" w:eastAsia="黑体"/>
          <w:bCs/>
          <w:color w:val="000000"/>
          <w:spacing w:val="15"/>
          <w:kern w:val="0"/>
          <w:szCs w:val="21"/>
        </w:rPr>
        <w:t>水生动物疫病防控</w:t>
      </w:r>
    </w:p>
    <w:p>
      <w:pPr>
        <w:widowControl/>
        <w:shd w:val="clear" w:color="auto" w:fill="FFFFFF"/>
        <w:spacing w:line="380" w:lineRule="atLeast"/>
        <w:ind w:firstLine="555"/>
        <w:jc w:val="left"/>
        <w:rPr>
          <w:rFonts w:eastAsia="黑体"/>
          <w:bCs/>
          <w:color w:val="000000"/>
          <w:spacing w:val="15"/>
          <w:kern w:val="0"/>
          <w:szCs w:val="21"/>
        </w:rPr>
      </w:pPr>
    </w:p>
    <w:p>
      <w:pPr>
        <w:widowControl/>
        <w:shd w:val="clear" w:color="auto" w:fill="FFFFFF"/>
        <w:spacing w:line="420" w:lineRule="atLeast"/>
        <w:jc w:val="center"/>
        <w:rPr>
          <w:bCs/>
          <w:color w:val="000000"/>
          <w:spacing w:val="15"/>
          <w:kern w:val="0"/>
          <w:sz w:val="24"/>
        </w:rPr>
      </w:pPr>
      <w:r>
        <w:rPr>
          <w:rFonts w:hint="eastAsia" w:hAnsi="黑体" w:eastAsia="黑体"/>
          <w:b/>
          <w:bCs/>
          <w:color w:val="000000"/>
          <w:spacing w:val="15"/>
          <w:kern w:val="0"/>
          <w:sz w:val="24"/>
        </w:rPr>
        <w:t>第二部分</w:t>
      </w:r>
      <w:r>
        <w:rPr>
          <w:rFonts w:eastAsia="黑体"/>
          <w:b/>
          <w:bCs/>
          <w:color w:val="000000"/>
          <w:spacing w:val="15"/>
          <w:kern w:val="0"/>
          <w:sz w:val="24"/>
        </w:rPr>
        <w:t xml:space="preserve"> </w:t>
      </w:r>
      <w:r>
        <w:rPr>
          <w:rFonts w:hint="eastAsia" w:hAnsi="黑体" w:eastAsia="黑体"/>
          <w:b/>
          <w:bCs/>
          <w:color w:val="000000"/>
          <w:spacing w:val="15"/>
          <w:kern w:val="0"/>
          <w:sz w:val="24"/>
        </w:rPr>
        <w:t>硕士学位授予标准</w:t>
      </w:r>
    </w:p>
    <w:p>
      <w:pPr>
        <w:widowControl/>
        <w:shd w:val="clear" w:color="auto" w:fill="FFFFFF"/>
        <w:spacing w:line="380" w:lineRule="atLeast"/>
        <w:ind w:firstLine="555"/>
        <w:jc w:val="left"/>
        <w:rPr>
          <w:rFonts w:hAnsi="黑体" w:eastAsia="黑体"/>
          <w:b/>
          <w:bCs/>
          <w:color w:val="000000"/>
          <w:spacing w:val="15"/>
          <w:kern w:val="0"/>
          <w:szCs w:val="21"/>
        </w:rPr>
      </w:pPr>
      <w:r>
        <w:rPr>
          <w:rFonts w:hint="eastAsia" w:hAnsi="黑体" w:eastAsia="黑体"/>
          <w:b/>
          <w:bCs/>
          <w:color w:val="000000"/>
          <w:spacing w:val="15"/>
          <w:kern w:val="0"/>
          <w:szCs w:val="21"/>
        </w:rPr>
        <w:t>一、获本专业学位应具备的基本素质</w:t>
      </w:r>
    </w:p>
    <w:p>
      <w:pPr>
        <w:widowControl/>
        <w:shd w:val="clear" w:color="auto" w:fill="FFFFFF"/>
        <w:spacing w:line="380" w:lineRule="atLeast"/>
        <w:ind w:firstLine="555"/>
        <w:jc w:val="left"/>
        <w:rPr>
          <w:rFonts w:eastAsia="黑体"/>
          <w:bCs/>
          <w:color w:val="000000"/>
          <w:spacing w:val="15"/>
          <w:kern w:val="0"/>
          <w:szCs w:val="21"/>
        </w:rPr>
      </w:pPr>
      <w:r>
        <w:rPr>
          <w:rFonts w:hint="eastAsia" w:eastAsia="黑体"/>
          <w:bCs/>
          <w:color w:val="000000"/>
          <w:spacing w:val="15"/>
          <w:kern w:val="0"/>
          <w:szCs w:val="21"/>
        </w:rPr>
        <w:t>热爱祖国，拥护共产党；遵纪守法，身心健康，品德良好，学风端正，开拓进取，勤奋敬业；有高尚的科学道德和良好的合作精神。</w:t>
      </w:r>
    </w:p>
    <w:p>
      <w:pPr>
        <w:widowControl/>
        <w:shd w:val="clear" w:color="auto" w:fill="FFFFFF"/>
        <w:spacing w:line="380" w:lineRule="atLeast"/>
        <w:ind w:firstLine="555"/>
        <w:jc w:val="left"/>
        <w:rPr>
          <w:rFonts w:hAnsi="黑体" w:eastAsia="黑体"/>
          <w:b/>
          <w:bCs/>
          <w:color w:val="000000"/>
          <w:spacing w:val="15"/>
          <w:kern w:val="0"/>
          <w:szCs w:val="21"/>
        </w:rPr>
      </w:pPr>
      <w:r>
        <w:rPr>
          <w:rFonts w:hint="eastAsia" w:hAnsi="黑体" w:eastAsia="黑体"/>
          <w:b/>
          <w:bCs/>
          <w:color w:val="000000"/>
          <w:spacing w:val="15"/>
          <w:kern w:val="0"/>
          <w:szCs w:val="21"/>
        </w:rPr>
        <w:t>二、获本专业学位应掌握的基本知识</w:t>
      </w:r>
    </w:p>
    <w:p>
      <w:pPr>
        <w:widowControl/>
        <w:shd w:val="clear" w:color="auto" w:fill="FFFFFF"/>
        <w:spacing w:line="380" w:lineRule="atLeast"/>
        <w:ind w:firstLine="555"/>
        <w:jc w:val="left"/>
        <w:rPr>
          <w:rFonts w:eastAsia="黑体"/>
          <w:bCs/>
          <w:color w:val="000000"/>
          <w:spacing w:val="15"/>
          <w:kern w:val="0"/>
          <w:szCs w:val="21"/>
        </w:rPr>
      </w:pPr>
      <w:r>
        <w:rPr>
          <w:rFonts w:hint="eastAsia" w:eastAsia="黑体"/>
          <w:bCs/>
          <w:color w:val="000000"/>
          <w:spacing w:val="15"/>
          <w:kern w:val="0"/>
          <w:szCs w:val="21"/>
        </w:rPr>
        <w:t>掌握系统的渔业基础理论和专业知识以及相关的管理、人文和社会科学知识，具有较宽广的知识面，较强的专业技能、实践技能和技术传授技能，具有创新意识、创业能力，能够独立从事渔业、渔民、渔村发展中的技术和管理工作</w:t>
      </w:r>
    </w:p>
    <w:p>
      <w:pPr>
        <w:widowControl/>
        <w:shd w:val="clear" w:color="auto" w:fill="FFFFFF"/>
        <w:spacing w:line="380" w:lineRule="atLeast"/>
        <w:ind w:firstLine="555"/>
        <w:jc w:val="left"/>
        <w:rPr>
          <w:rFonts w:hAnsi="黑体" w:eastAsia="黑体"/>
          <w:b/>
          <w:bCs/>
          <w:color w:val="000000"/>
          <w:spacing w:val="15"/>
          <w:kern w:val="0"/>
          <w:szCs w:val="21"/>
        </w:rPr>
      </w:pPr>
      <w:r>
        <w:rPr>
          <w:rFonts w:hint="eastAsia" w:hAnsi="黑体" w:eastAsia="黑体"/>
          <w:b/>
          <w:bCs/>
          <w:color w:val="000000"/>
          <w:spacing w:val="15"/>
          <w:kern w:val="0"/>
          <w:szCs w:val="21"/>
        </w:rPr>
        <w:t>三、获本专业学位应接受的实践训练</w:t>
      </w:r>
    </w:p>
    <w:p>
      <w:pPr>
        <w:widowControl/>
        <w:shd w:val="clear" w:color="auto" w:fill="FFFFFF"/>
        <w:spacing w:line="380" w:lineRule="atLeast"/>
        <w:ind w:firstLine="480" w:firstLineChars="200"/>
        <w:jc w:val="left"/>
        <w:rPr>
          <w:rFonts w:eastAsia="黑体"/>
          <w:bCs/>
          <w:color w:val="000000"/>
          <w:spacing w:val="15"/>
          <w:kern w:val="0"/>
          <w:szCs w:val="21"/>
        </w:rPr>
      </w:pPr>
      <w:r>
        <w:rPr>
          <w:rFonts w:hint="eastAsia" w:eastAsia="黑体"/>
          <w:bCs/>
          <w:color w:val="000000"/>
          <w:spacing w:val="15"/>
          <w:kern w:val="0"/>
          <w:szCs w:val="21"/>
        </w:rPr>
        <w:t>根据培养需要建立稳定的农业硕士渔业发展领域专业学位研究生校外实践基地，加强研究生的实践训练，实施实行双导师制，促进实践与课程教学和学位论文工作的紧密结合，注重在实践中培养研究生解决实际问题的意识和能力。实践训练不少于</w:t>
      </w:r>
      <w:r>
        <w:rPr>
          <w:rFonts w:eastAsia="黑体"/>
          <w:bCs/>
          <w:color w:val="000000"/>
          <w:spacing w:val="15"/>
          <w:kern w:val="0"/>
          <w:szCs w:val="21"/>
        </w:rPr>
        <w:t xml:space="preserve">6 </w:t>
      </w:r>
      <w:r>
        <w:rPr>
          <w:rFonts w:hint="eastAsia" w:eastAsia="黑体"/>
          <w:bCs/>
          <w:color w:val="000000"/>
          <w:spacing w:val="15"/>
          <w:kern w:val="0"/>
          <w:szCs w:val="21"/>
        </w:rPr>
        <w:t>个月。</w:t>
      </w:r>
    </w:p>
    <w:p>
      <w:pPr>
        <w:widowControl/>
        <w:shd w:val="clear" w:color="auto" w:fill="FFFFFF"/>
        <w:spacing w:line="380" w:lineRule="atLeast"/>
        <w:ind w:firstLine="555"/>
        <w:jc w:val="left"/>
        <w:rPr>
          <w:rFonts w:hAnsi="黑体" w:eastAsia="黑体"/>
          <w:b/>
          <w:bCs/>
          <w:color w:val="000000"/>
          <w:spacing w:val="15"/>
          <w:kern w:val="0"/>
          <w:szCs w:val="21"/>
        </w:rPr>
      </w:pPr>
      <w:r>
        <w:rPr>
          <w:rFonts w:hint="eastAsia" w:hAnsi="黑体" w:eastAsia="黑体"/>
          <w:b/>
          <w:bCs/>
          <w:color w:val="000000"/>
          <w:spacing w:val="15"/>
          <w:kern w:val="0"/>
          <w:szCs w:val="21"/>
        </w:rPr>
        <w:t>四、获本专业学位应具备的基本能力</w:t>
      </w:r>
    </w:p>
    <w:p>
      <w:pPr>
        <w:widowControl/>
        <w:shd w:val="clear" w:color="auto" w:fill="FFFFFF"/>
        <w:spacing w:line="380" w:lineRule="atLeast"/>
        <w:ind w:firstLine="480" w:firstLineChars="200"/>
        <w:jc w:val="left"/>
        <w:rPr>
          <w:rFonts w:eastAsia="黑体"/>
          <w:bCs/>
          <w:color w:val="000000"/>
          <w:spacing w:val="15"/>
          <w:kern w:val="0"/>
          <w:szCs w:val="21"/>
        </w:rPr>
      </w:pPr>
      <w:r>
        <w:rPr>
          <w:rFonts w:hint="eastAsia" w:eastAsia="黑体"/>
          <w:bCs/>
          <w:color w:val="000000"/>
          <w:spacing w:val="15"/>
          <w:kern w:val="0"/>
          <w:szCs w:val="21"/>
        </w:rPr>
        <w:t>具备获取本学科及交叉领域知识能力和实践操作技能，能综合运用知识技能解决生产应用中实际问题；能熟练运用计算机等现代信息技术手段；了解本行业领域国内外发展动态，基本能够阅读本专业的英文或其他外文文献。</w:t>
      </w:r>
    </w:p>
    <w:p>
      <w:pPr>
        <w:widowControl/>
        <w:shd w:val="clear" w:color="auto" w:fill="FFFFFF"/>
        <w:spacing w:line="420" w:lineRule="atLeast"/>
        <w:jc w:val="left"/>
        <w:rPr>
          <w:rFonts w:eastAsia="黑体"/>
          <w:b/>
          <w:bCs/>
          <w:color w:val="000000"/>
          <w:spacing w:val="15"/>
          <w:kern w:val="0"/>
          <w:szCs w:val="21"/>
        </w:rPr>
      </w:pPr>
      <w:r>
        <w:rPr>
          <w:rFonts w:hAnsi="黑体" w:eastAsia="黑体"/>
          <w:b/>
          <w:bCs/>
          <w:color w:val="000000"/>
          <w:spacing w:val="15"/>
          <w:kern w:val="0"/>
          <w:szCs w:val="21"/>
        </w:rPr>
        <w:t xml:space="preserve">    </w:t>
      </w:r>
      <w:r>
        <w:rPr>
          <w:rFonts w:hint="eastAsia" w:hAnsi="黑体" w:eastAsia="黑体"/>
          <w:b/>
          <w:bCs/>
          <w:color w:val="000000"/>
          <w:spacing w:val="15"/>
          <w:kern w:val="0"/>
          <w:szCs w:val="21"/>
        </w:rPr>
        <w:t>五、学位论文基本要求</w:t>
      </w:r>
    </w:p>
    <w:p>
      <w:pPr>
        <w:widowControl/>
        <w:shd w:val="clear" w:color="auto" w:fill="FFFFFF"/>
        <w:spacing w:line="380" w:lineRule="atLeast"/>
        <w:ind w:firstLine="480" w:firstLineChars="200"/>
        <w:jc w:val="left"/>
        <w:rPr>
          <w:rFonts w:eastAsia="黑体"/>
          <w:bCs/>
          <w:color w:val="000000"/>
          <w:spacing w:val="15"/>
          <w:kern w:val="0"/>
          <w:szCs w:val="21"/>
        </w:rPr>
      </w:pPr>
      <w:r>
        <w:rPr>
          <w:rFonts w:hint="eastAsia" w:eastAsia="黑体"/>
          <w:bCs/>
          <w:color w:val="000000"/>
          <w:spacing w:val="15"/>
          <w:kern w:val="0"/>
          <w:szCs w:val="21"/>
        </w:rPr>
        <w:t>研究生应根据学校有关学位论文撰写要求和格式认真完成，并在导师指导下对论文进行修改完善，充分保证论文质量，不断提高论文水平，定稿后按时提交论文。有关科研成果要求见培养方案第四点“研究生科研成果要求”等。</w:t>
      </w:r>
    </w:p>
    <w:p>
      <w:pPr>
        <w:widowControl/>
        <w:shd w:val="clear" w:color="auto" w:fill="FFFFFF"/>
        <w:spacing w:line="420" w:lineRule="atLeast"/>
        <w:jc w:val="left"/>
        <w:rPr>
          <w:rFonts w:eastAsia="黑体"/>
          <w:b/>
          <w:bCs/>
          <w:color w:val="000000"/>
          <w:spacing w:val="15"/>
          <w:kern w:val="0"/>
          <w:sz w:val="24"/>
        </w:rPr>
      </w:pPr>
    </w:p>
    <w:p>
      <w:pPr>
        <w:widowControl/>
        <w:shd w:val="clear" w:color="auto" w:fill="FFFFFF"/>
        <w:spacing w:before="156" w:beforeLines="50" w:line="420" w:lineRule="atLeast"/>
        <w:jc w:val="center"/>
        <w:rPr>
          <w:rFonts w:eastAsia="黑体"/>
          <w:b/>
          <w:bCs/>
          <w:color w:val="000000"/>
          <w:spacing w:val="15"/>
          <w:kern w:val="0"/>
          <w:sz w:val="28"/>
          <w:szCs w:val="28"/>
        </w:rPr>
      </w:pPr>
      <w:r>
        <w:rPr>
          <w:rFonts w:hint="eastAsia" w:hAnsi="黑体" w:eastAsia="黑体"/>
          <w:b/>
          <w:bCs/>
          <w:color w:val="000000"/>
          <w:spacing w:val="15"/>
          <w:kern w:val="0"/>
          <w:sz w:val="28"/>
          <w:szCs w:val="28"/>
        </w:rPr>
        <w:t>第二章</w:t>
      </w:r>
      <w:r>
        <w:rPr>
          <w:rFonts w:eastAsia="黑体"/>
          <w:b/>
          <w:bCs/>
          <w:color w:val="000000"/>
          <w:spacing w:val="15"/>
          <w:kern w:val="0"/>
          <w:sz w:val="28"/>
          <w:szCs w:val="28"/>
        </w:rPr>
        <w:t xml:space="preserve"> </w:t>
      </w:r>
      <w:r>
        <w:rPr>
          <w:rFonts w:hint="eastAsia" w:hAnsi="黑体" w:eastAsia="黑体"/>
          <w:b/>
          <w:bCs/>
          <w:color w:val="000000"/>
          <w:spacing w:val="15"/>
          <w:kern w:val="0"/>
          <w:sz w:val="28"/>
          <w:szCs w:val="28"/>
        </w:rPr>
        <w:t>培养方案</w:t>
      </w:r>
    </w:p>
    <w:tbl>
      <w:tblPr>
        <w:tblStyle w:val="6"/>
        <w:tblW w:w="8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1"/>
        <w:gridCol w:w="573"/>
        <w:gridCol w:w="526"/>
        <w:gridCol w:w="652"/>
        <w:gridCol w:w="1333"/>
        <w:gridCol w:w="709"/>
        <w:gridCol w:w="567"/>
        <w:gridCol w:w="267"/>
        <w:gridCol w:w="567"/>
        <w:gridCol w:w="567"/>
        <w:gridCol w:w="441"/>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4"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专业学位类别</w:t>
            </w:r>
          </w:p>
        </w:tc>
        <w:tc>
          <w:tcPr>
            <w:tcW w:w="2511"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农业硕士</w:t>
            </w:r>
          </w:p>
        </w:tc>
        <w:tc>
          <w:tcPr>
            <w:tcW w:w="1543"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类别代码</w:t>
            </w:r>
          </w:p>
        </w:tc>
        <w:tc>
          <w:tcPr>
            <w:tcW w:w="2551" w:type="dxa"/>
            <w:gridSpan w:val="4"/>
            <w:vAlign w:val="center"/>
          </w:tcPr>
          <w:p>
            <w:pPr>
              <w:widowControl/>
              <w:shd w:val="clear" w:color="auto" w:fill="FFFFFF"/>
              <w:jc w:val="center"/>
              <w:rPr>
                <w:bCs/>
                <w:color w:val="000000"/>
                <w:kern w:val="0"/>
                <w:sz w:val="18"/>
                <w:szCs w:val="18"/>
              </w:rPr>
            </w:pPr>
            <w:r>
              <w:rPr>
                <w:bCs/>
                <w:color w:val="000000"/>
                <w:kern w:val="0"/>
                <w:sz w:val="18"/>
                <w:szCs w:val="18"/>
              </w:rPr>
              <w:t>0951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4"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领域名称</w:t>
            </w:r>
          </w:p>
        </w:tc>
        <w:tc>
          <w:tcPr>
            <w:tcW w:w="2511" w:type="dxa"/>
            <w:gridSpan w:val="3"/>
            <w:vAlign w:val="center"/>
          </w:tcPr>
          <w:p>
            <w:pPr>
              <w:widowControl/>
              <w:shd w:val="clear" w:color="auto" w:fill="FFFFFF"/>
              <w:jc w:val="center"/>
              <w:rPr>
                <w:bCs/>
                <w:color w:val="000000"/>
                <w:kern w:val="0"/>
                <w:sz w:val="18"/>
                <w:szCs w:val="18"/>
              </w:rPr>
            </w:pPr>
            <w:r>
              <w:rPr>
                <w:rFonts w:hint="eastAsia"/>
                <w:bCs/>
                <w:color w:val="000000"/>
                <w:kern w:val="0"/>
                <w:sz w:val="18"/>
                <w:szCs w:val="18"/>
              </w:rPr>
              <w:t>渔业发展</w:t>
            </w:r>
          </w:p>
        </w:tc>
        <w:tc>
          <w:tcPr>
            <w:tcW w:w="1543"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领域代码</w:t>
            </w:r>
          </w:p>
        </w:tc>
        <w:tc>
          <w:tcPr>
            <w:tcW w:w="2551" w:type="dxa"/>
            <w:gridSpan w:val="4"/>
            <w:vAlign w:val="center"/>
          </w:tcPr>
          <w:p>
            <w:pPr>
              <w:widowControl/>
              <w:shd w:val="clear" w:color="auto" w:fill="FFFFFF"/>
              <w:jc w:val="center"/>
              <w:rPr>
                <w:bCs/>
                <w:color w:val="000000"/>
                <w:kern w:val="0"/>
                <w:sz w:val="18"/>
                <w:szCs w:val="18"/>
              </w:rPr>
            </w:pPr>
            <w:r>
              <w:rPr>
                <w:bCs/>
                <w:color w:val="000000"/>
                <w:kern w:val="0"/>
                <w:sz w:val="18"/>
                <w:szCs w:val="18"/>
              </w:rPr>
              <w:t>095134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4" w:type="dxa"/>
            <w:gridSpan w:val="2"/>
            <w:vMerge w:val="restart"/>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学制</w:t>
            </w:r>
          </w:p>
        </w:tc>
        <w:tc>
          <w:tcPr>
            <w:tcW w:w="6605" w:type="dxa"/>
            <w:gridSpan w:val="10"/>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全日制：学制</w:t>
            </w:r>
            <w:r>
              <w:rPr>
                <w:bCs/>
                <w:color w:val="000000"/>
                <w:kern w:val="0"/>
                <w:sz w:val="18"/>
                <w:szCs w:val="18"/>
                <w:u w:val="single"/>
              </w:rPr>
              <w:t xml:space="preserve"> 3 </w:t>
            </w:r>
            <w:r>
              <w:rPr>
                <w:rFonts w:hint="eastAsia" w:hAnsi="宋体"/>
                <w:bCs/>
                <w:color w:val="000000"/>
                <w:kern w:val="0"/>
                <w:sz w:val="18"/>
                <w:szCs w:val="18"/>
              </w:rPr>
              <w:t>年，最长学习年限：</w:t>
            </w:r>
            <w:r>
              <w:rPr>
                <w:bCs/>
                <w:color w:val="000000"/>
                <w:kern w:val="0"/>
                <w:sz w:val="18"/>
                <w:szCs w:val="18"/>
                <w:u w:val="single"/>
              </w:rPr>
              <w:t xml:space="preserve"> 5</w:t>
            </w:r>
            <w:r>
              <w:rPr>
                <w:rFonts w:hint="eastAsia"/>
                <w:bCs/>
                <w:color w:val="000000"/>
                <w:kern w:val="0"/>
                <w:sz w:val="18"/>
                <w:szCs w:val="18"/>
                <w:u w:val="single"/>
              </w:rPr>
              <w:t xml:space="preserve"> </w:t>
            </w:r>
            <w:r>
              <w:rPr>
                <w:rFonts w:hint="eastAsia" w:hAnsi="宋体"/>
                <w:bCs/>
                <w:color w:val="000000"/>
                <w:kern w:val="0"/>
                <w:sz w:val="18"/>
                <w:szCs w:val="1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4" w:type="dxa"/>
            <w:gridSpan w:val="2"/>
            <w:vMerge w:val="continue"/>
            <w:vAlign w:val="center"/>
          </w:tcPr>
          <w:p>
            <w:pPr>
              <w:widowControl/>
              <w:shd w:val="clear" w:color="auto" w:fill="FFFFFF"/>
              <w:jc w:val="center"/>
              <w:rPr>
                <w:b/>
                <w:bCs/>
                <w:color w:val="000000"/>
                <w:kern w:val="0"/>
                <w:sz w:val="18"/>
                <w:szCs w:val="18"/>
              </w:rPr>
            </w:pPr>
          </w:p>
        </w:tc>
        <w:tc>
          <w:tcPr>
            <w:tcW w:w="6605" w:type="dxa"/>
            <w:gridSpan w:val="10"/>
            <w:vAlign w:val="center"/>
          </w:tcPr>
          <w:p>
            <w:pPr>
              <w:widowControl/>
              <w:shd w:val="clear" w:color="auto" w:fill="FFFFFF"/>
              <w:jc w:val="center"/>
              <w:rPr>
                <w:b/>
                <w:bCs/>
                <w:color w:val="000000"/>
                <w:kern w:val="0"/>
                <w:sz w:val="18"/>
                <w:szCs w:val="18"/>
              </w:rPr>
            </w:pPr>
            <w:r>
              <w:rPr>
                <w:rFonts w:hint="eastAsia" w:hAnsi="宋体"/>
                <w:bCs/>
                <w:color w:val="000000"/>
                <w:kern w:val="0"/>
                <w:sz w:val="18"/>
                <w:szCs w:val="18"/>
              </w:rPr>
              <w:t>非全日制：学制</w:t>
            </w:r>
            <w:r>
              <w:rPr>
                <w:rFonts w:hAnsi="宋体"/>
                <w:bCs/>
                <w:color w:val="000000"/>
                <w:kern w:val="0"/>
                <w:sz w:val="18"/>
                <w:szCs w:val="18"/>
                <w:u w:val="single"/>
              </w:rPr>
              <w:t xml:space="preserve"> </w:t>
            </w:r>
            <w:r>
              <w:rPr>
                <w:bCs/>
                <w:color w:val="000000"/>
                <w:kern w:val="0"/>
                <w:sz w:val="18"/>
                <w:szCs w:val="18"/>
                <w:u w:val="single"/>
              </w:rPr>
              <w:t>3</w:t>
            </w:r>
            <w:r>
              <w:rPr>
                <w:rFonts w:hint="eastAsia" w:hAnsi="宋体"/>
                <w:bCs/>
                <w:color w:val="000000"/>
                <w:kern w:val="0"/>
                <w:sz w:val="18"/>
                <w:szCs w:val="18"/>
              </w:rPr>
              <w:t>年，最长学习年限：</w:t>
            </w:r>
            <w:r>
              <w:rPr>
                <w:rFonts w:hAnsi="宋体"/>
                <w:bCs/>
                <w:color w:val="000000"/>
                <w:kern w:val="0"/>
                <w:sz w:val="18"/>
                <w:szCs w:val="18"/>
                <w:u w:val="single"/>
              </w:rPr>
              <w:t xml:space="preserve"> </w:t>
            </w:r>
            <w:r>
              <w:rPr>
                <w:bCs/>
                <w:color w:val="000000"/>
                <w:kern w:val="0"/>
                <w:sz w:val="18"/>
                <w:szCs w:val="18"/>
                <w:u w:val="single"/>
              </w:rPr>
              <w:t>5</w:t>
            </w:r>
            <w:r>
              <w:rPr>
                <w:rFonts w:hint="eastAsia"/>
                <w:bCs/>
                <w:color w:val="000000"/>
                <w:kern w:val="0"/>
                <w:sz w:val="18"/>
                <w:szCs w:val="18"/>
                <w:u w:val="single"/>
              </w:rPr>
              <w:t xml:space="preserve"> </w:t>
            </w:r>
            <w:r>
              <w:rPr>
                <w:rFonts w:hint="eastAsia" w:hAnsi="宋体"/>
                <w:bCs/>
                <w:color w:val="000000"/>
                <w:kern w:val="0"/>
                <w:sz w:val="18"/>
                <w:szCs w:val="18"/>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4" w:type="dxa"/>
            <w:gridSpan w:val="2"/>
            <w:vMerge w:val="restart"/>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学分</w:t>
            </w:r>
          </w:p>
        </w:tc>
        <w:tc>
          <w:tcPr>
            <w:tcW w:w="6605" w:type="dxa"/>
            <w:gridSpan w:val="10"/>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总学分：</w:t>
            </w:r>
            <w:r>
              <w:rPr>
                <w:bCs/>
                <w:color w:val="000000"/>
                <w:kern w:val="0"/>
                <w:sz w:val="18"/>
                <w:szCs w:val="18"/>
                <w:u w:val="single"/>
              </w:rPr>
              <w:t xml:space="preserve">  31  </w:t>
            </w:r>
            <w:r>
              <w:rPr>
                <w:rFonts w:hint="eastAsia" w:hAnsi="宋体"/>
                <w:bCs/>
                <w:color w:val="000000"/>
                <w:kern w:val="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4" w:type="dxa"/>
            <w:gridSpan w:val="2"/>
            <w:vMerge w:val="continue"/>
            <w:vAlign w:val="center"/>
          </w:tcPr>
          <w:p>
            <w:pPr>
              <w:widowControl/>
              <w:shd w:val="clear" w:color="auto" w:fill="FFFFFF"/>
              <w:jc w:val="center"/>
              <w:rPr>
                <w:bCs/>
                <w:color w:val="000000"/>
                <w:kern w:val="0"/>
                <w:sz w:val="18"/>
                <w:szCs w:val="18"/>
              </w:rPr>
            </w:pPr>
          </w:p>
        </w:tc>
        <w:tc>
          <w:tcPr>
            <w:tcW w:w="6605" w:type="dxa"/>
            <w:gridSpan w:val="10"/>
            <w:vAlign w:val="center"/>
          </w:tcPr>
          <w:p>
            <w:pPr>
              <w:shd w:val="clear" w:color="auto" w:fill="FFFFFF"/>
              <w:jc w:val="center"/>
              <w:rPr>
                <w:bCs/>
                <w:color w:val="000000"/>
                <w:kern w:val="0"/>
                <w:sz w:val="18"/>
                <w:szCs w:val="18"/>
              </w:rPr>
            </w:pPr>
            <w:r>
              <w:rPr>
                <w:rFonts w:hint="eastAsia" w:hAnsi="宋体"/>
                <w:bCs/>
                <w:color w:val="000000"/>
                <w:kern w:val="0"/>
                <w:sz w:val="18"/>
                <w:szCs w:val="18"/>
              </w:rPr>
              <w:t>课程学分：</w:t>
            </w:r>
            <w:r>
              <w:rPr>
                <w:bCs/>
                <w:color w:val="000000"/>
                <w:kern w:val="0"/>
                <w:sz w:val="18"/>
                <w:szCs w:val="18"/>
                <w:u w:val="single"/>
              </w:rPr>
              <w:t xml:space="preserve"> 23 </w:t>
            </w:r>
            <w:r>
              <w:rPr>
                <w:rFonts w:hint="eastAsia" w:hAnsi="宋体"/>
                <w:bCs/>
                <w:color w:val="000000"/>
                <w:kern w:val="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84" w:type="dxa"/>
            <w:gridSpan w:val="2"/>
            <w:vMerge w:val="continue"/>
            <w:vAlign w:val="center"/>
          </w:tcPr>
          <w:p>
            <w:pPr>
              <w:widowControl/>
              <w:shd w:val="clear" w:color="auto" w:fill="FFFFFF"/>
              <w:jc w:val="center"/>
              <w:rPr>
                <w:bCs/>
                <w:color w:val="000000"/>
                <w:kern w:val="0"/>
                <w:sz w:val="18"/>
                <w:szCs w:val="18"/>
              </w:rPr>
            </w:pPr>
          </w:p>
        </w:tc>
        <w:tc>
          <w:tcPr>
            <w:tcW w:w="6605" w:type="dxa"/>
            <w:gridSpan w:val="10"/>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培养环节：</w:t>
            </w:r>
            <w:r>
              <w:rPr>
                <w:bCs/>
                <w:color w:val="000000"/>
                <w:kern w:val="0"/>
                <w:sz w:val="18"/>
                <w:szCs w:val="18"/>
                <w:u w:val="single"/>
              </w:rPr>
              <w:t xml:space="preserve"> 8</w:t>
            </w:r>
            <w:r>
              <w:rPr>
                <w:rFonts w:hint="eastAsia" w:hAnsi="宋体"/>
                <w:bCs/>
                <w:color w:val="000000"/>
                <w:kern w:val="0"/>
                <w:sz w:val="18"/>
                <w:szCs w:val="18"/>
              </w:rPr>
              <w:t>学分，其中实践训练</w:t>
            </w:r>
            <w:r>
              <w:rPr>
                <w:rFonts w:hAnsi="宋体"/>
                <w:bCs/>
                <w:color w:val="000000"/>
                <w:kern w:val="0"/>
                <w:sz w:val="18"/>
                <w:szCs w:val="18"/>
                <w:u w:val="single"/>
              </w:rPr>
              <w:t xml:space="preserve"> </w:t>
            </w:r>
            <w:r>
              <w:rPr>
                <w:bCs/>
                <w:color w:val="000000"/>
                <w:kern w:val="0"/>
                <w:sz w:val="18"/>
                <w:szCs w:val="18"/>
                <w:u w:val="single"/>
              </w:rPr>
              <w:t>6</w:t>
            </w:r>
            <w:r>
              <w:rPr>
                <w:rFonts w:hint="eastAsia" w:hAnsi="宋体"/>
                <w:bCs/>
                <w:color w:val="000000"/>
                <w:kern w:val="0"/>
                <w:sz w:val="18"/>
                <w:szCs w:val="18"/>
              </w:rPr>
              <w:t>学分，其他</w:t>
            </w:r>
            <w:r>
              <w:rPr>
                <w:bCs/>
                <w:color w:val="000000"/>
                <w:kern w:val="0"/>
                <w:sz w:val="18"/>
                <w:szCs w:val="18"/>
                <w:u w:val="single"/>
              </w:rPr>
              <w:t xml:space="preserve"> 2 </w:t>
            </w:r>
            <w:r>
              <w:rPr>
                <w:rFonts w:hint="eastAsia" w:hAnsi="宋体"/>
                <w:bCs/>
                <w:color w:val="000000"/>
                <w:kern w:val="0"/>
                <w:sz w:val="18"/>
                <w:szCs w:val="18"/>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widowControl/>
              <w:shd w:val="clear" w:color="auto" w:fill="FFFFFF"/>
              <w:jc w:val="left"/>
              <w:rPr>
                <w:rFonts w:ascii="黑体" w:hAnsi="黑体" w:eastAsia="黑体"/>
                <w:b/>
                <w:bCs/>
                <w:color w:val="000000"/>
                <w:kern w:val="0"/>
                <w:szCs w:val="21"/>
              </w:rPr>
            </w:pPr>
            <w:r>
              <w:rPr>
                <w:rFonts w:hint="eastAsia" w:ascii="黑体" w:hAnsi="黑体" w:eastAsia="黑体"/>
                <w:b/>
                <w:bCs/>
                <w:color w:val="000000"/>
                <w:kern w:val="0"/>
                <w:szCs w:val="21"/>
              </w:rPr>
              <w:t>一、课程设置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课程类别</w:t>
            </w:r>
          </w:p>
        </w:tc>
        <w:tc>
          <w:tcPr>
            <w:tcW w:w="1099"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课程编号</w:t>
            </w:r>
          </w:p>
        </w:tc>
        <w:tc>
          <w:tcPr>
            <w:tcW w:w="1985"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课程中文名称</w:t>
            </w:r>
          </w:p>
        </w:tc>
        <w:tc>
          <w:tcPr>
            <w:tcW w:w="709" w:type="dxa"/>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学分</w:t>
            </w:r>
          </w:p>
        </w:tc>
        <w:tc>
          <w:tcPr>
            <w:tcW w:w="1401"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开课学期</w:t>
            </w:r>
          </w:p>
        </w:tc>
        <w:tc>
          <w:tcPr>
            <w:tcW w:w="1984"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restart"/>
            <w:vAlign w:val="center"/>
          </w:tcPr>
          <w:p>
            <w:pPr>
              <w:widowControl/>
              <w:shd w:val="clear" w:color="auto" w:fill="FFFFFF"/>
              <w:jc w:val="center"/>
              <w:rPr>
                <w:rFonts w:hAnsi="宋体"/>
                <w:bCs/>
                <w:color w:val="000000"/>
                <w:kern w:val="0"/>
                <w:sz w:val="18"/>
                <w:szCs w:val="18"/>
              </w:rPr>
            </w:pPr>
            <w:r>
              <w:rPr>
                <w:rFonts w:hint="eastAsia" w:hAnsi="宋体"/>
                <w:bCs/>
                <w:color w:val="000000"/>
                <w:kern w:val="0"/>
                <w:sz w:val="18"/>
                <w:szCs w:val="18"/>
              </w:rPr>
              <w:t>公共学位课</w:t>
            </w:r>
          </w:p>
          <w:p>
            <w:pPr>
              <w:widowControl/>
              <w:shd w:val="clear" w:color="auto" w:fill="FFFFFF"/>
              <w:jc w:val="center"/>
              <w:rPr>
                <w:bCs/>
                <w:color w:val="000000"/>
                <w:kern w:val="0"/>
                <w:sz w:val="18"/>
                <w:szCs w:val="18"/>
              </w:rPr>
            </w:pPr>
            <w:r>
              <w:rPr>
                <w:rFonts w:hint="eastAsia" w:hAnsi="宋体"/>
                <w:bCs/>
                <w:color w:val="000000"/>
                <w:kern w:val="0"/>
                <w:sz w:val="18"/>
                <w:szCs w:val="18"/>
              </w:rPr>
              <w:t>（</w:t>
            </w:r>
            <w:r>
              <w:rPr>
                <w:bCs/>
                <w:color w:val="000000"/>
                <w:kern w:val="0"/>
                <w:sz w:val="18"/>
                <w:szCs w:val="18"/>
              </w:rPr>
              <w:t>8</w:t>
            </w:r>
            <w:r>
              <w:rPr>
                <w:rFonts w:hint="eastAsia" w:hAnsi="宋体"/>
                <w:bCs/>
                <w:color w:val="000000"/>
                <w:kern w:val="0"/>
                <w:sz w:val="18"/>
                <w:szCs w:val="18"/>
              </w:rPr>
              <w:t>）学分</w:t>
            </w:r>
          </w:p>
        </w:tc>
        <w:tc>
          <w:tcPr>
            <w:tcW w:w="1099" w:type="dxa"/>
            <w:gridSpan w:val="2"/>
            <w:vAlign w:val="center"/>
          </w:tcPr>
          <w:p>
            <w:pPr>
              <w:widowControl/>
              <w:shd w:val="clear" w:color="auto" w:fill="FFFFFF"/>
              <w:jc w:val="center"/>
              <w:rPr>
                <w:bCs/>
                <w:color w:val="000000"/>
                <w:kern w:val="0"/>
                <w:sz w:val="18"/>
                <w:szCs w:val="18"/>
              </w:rPr>
            </w:pPr>
          </w:p>
        </w:tc>
        <w:tc>
          <w:tcPr>
            <w:tcW w:w="1985" w:type="dxa"/>
            <w:gridSpan w:val="2"/>
            <w:vAlign w:val="center"/>
          </w:tcPr>
          <w:p>
            <w:pPr>
              <w:widowControl/>
              <w:shd w:val="clear" w:color="auto" w:fill="FFFFFF"/>
              <w:jc w:val="left"/>
              <w:rPr>
                <w:bCs/>
                <w:color w:val="000000"/>
                <w:kern w:val="0"/>
                <w:sz w:val="18"/>
                <w:szCs w:val="18"/>
              </w:rPr>
            </w:pPr>
            <w:r>
              <w:rPr>
                <w:rFonts w:hint="eastAsia" w:hAnsi="宋体"/>
                <w:bCs/>
                <w:color w:val="000000"/>
                <w:kern w:val="0"/>
                <w:sz w:val="18"/>
                <w:szCs w:val="18"/>
              </w:rPr>
              <w:t>中国特色社会主义理论与实践研究</w:t>
            </w:r>
          </w:p>
        </w:tc>
        <w:tc>
          <w:tcPr>
            <w:tcW w:w="709" w:type="dxa"/>
            <w:vAlign w:val="center"/>
          </w:tcPr>
          <w:p>
            <w:pPr>
              <w:widowControl/>
              <w:shd w:val="clear" w:color="auto" w:fill="FFFFFF"/>
              <w:jc w:val="center"/>
              <w:rPr>
                <w:rFonts w:ascii="宋体" w:hAnsi="宋体"/>
                <w:bCs/>
                <w:color w:val="000000"/>
                <w:kern w:val="0"/>
                <w:sz w:val="18"/>
                <w:szCs w:val="18"/>
              </w:rPr>
            </w:pPr>
            <w:r>
              <w:rPr>
                <w:rFonts w:ascii="宋体" w:hAnsi="宋体"/>
                <w:bCs/>
                <w:color w:val="000000"/>
                <w:kern w:val="0"/>
                <w:sz w:val="18"/>
                <w:szCs w:val="18"/>
              </w:rPr>
              <w:t>2.0</w:t>
            </w:r>
          </w:p>
        </w:tc>
        <w:tc>
          <w:tcPr>
            <w:tcW w:w="1401"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秋</w:t>
            </w:r>
          </w:p>
        </w:tc>
        <w:tc>
          <w:tcPr>
            <w:tcW w:w="1984"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vAlign w:val="center"/>
          </w:tcPr>
          <w:p>
            <w:pPr>
              <w:widowControl/>
              <w:shd w:val="clear" w:color="auto" w:fill="FFFFFF"/>
              <w:jc w:val="center"/>
              <w:rPr>
                <w:bCs/>
                <w:color w:val="000000"/>
                <w:kern w:val="0"/>
                <w:sz w:val="18"/>
                <w:szCs w:val="18"/>
              </w:rPr>
            </w:pPr>
          </w:p>
        </w:tc>
        <w:tc>
          <w:tcPr>
            <w:tcW w:w="1985" w:type="dxa"/>
            <w:gridSpan w:val="2"/>
            <w:vAlign w:val="center"/>
          </w:tcPr>
          <w:p>
            <w:pPr>
              <w:widowControl/>
              <w:shd w:val="clear" w:color="auto" w:fill="FFFFFF"/>
              <w:jc w:val="left"/>
              <w:rPr>
                <w:bCs/>
                <w:color w:val="000000"/>
                <w:kern w:val="0"/>
                <w:sz w:val="18"/>
                <w:szCs w:val="18"/>
              </w:rPr>
            </w:pPr>
            <w:r>
              <w:rPr>
                <w:rFonts w:hint="eastAsia" w:hAnsi="宋体"/>
                <w:bCs/>
                <w:color w:val="000000"/>
                <w:kern w:val="0"/>
                <w:sz w:val="18"/>
                <w:szCs w:val="18"/>
              </w:rPr>
              <w:t>马克思主义与社会科学方法论</w:t>
            </w:r>
          </w:p>
        </w:tc>
        <w:tc>
          <w:tcPr>
            <w:tcW w:w="709" w:type="dxa"/>
            <w:vAlign w:val="center"/>
          </w:tcPr>
          <w:p>
            <w:pPr>
              <w:widowControl/>
              <w:shd w:val="clear" w:color="auto" w:fill="FFFFFF"/>
              <w:jc w:val="center"/>
              <w:rPr>
                <w:rFonts w:ascii="宋体" w:hAnsi="宋体"/>
                <w:bCs/>
                <w:color w:val="000000"/>
                <w:kern w:val="0"/>
                <w:sz w:val="18"/>
                <w:szCs w:val="18"/>
              </w:rPr>
            </w:pPr>
            <w:r>
              <w:rPr>
                <w:rFonts w:ascii="宋体" w:hAnsi="宋体"/>
                <w:bCs/>
                <w:color w:val="000000"/>
                <w:kern w:val="0"/>
                <w:sz w:val="18"/>
                <w:szCs w:val="18"/>
              </w:rPr>
              <w:t>1.0</w:t>
            </w:r>
          </w:p>
        </w:tc>
        <w:tc>
          <w:tcPr>
            <w:tcW w:w="1401"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春</w:t>
            </w:r>
          </w:p>
        </w:tc>
        <w:tc>
          <w:tcPr>
            <w:tcW w:w="1008"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必修</w:t>
            </w:r>
          </w:p>
        </w:tc>
        <w:tc>
          <w:tcPr>
            <w:tcW w:w="976" w:type="dxa"/>
            <w:vMerge w:val="restart"/>
            <w:vAlign w:val="center"/>
          </w:tcPr>
          <w:p>
            <w:pPr>
              <w:widowControl/>
              <w:shd w:val="clear" w:color="auto" w:fill="FFFFFF"/>
              <w:jc w:val="center"/>
              <w:rPr>
                <w:bCs/>
                <w:color w:val="000000"/>
                <w:kern w:val="0"/>
                <w:sz w:val="18"/>
                <w:szCs w:val="18"/>
              </w:rPr>
            </w:pPr>
          </w:p>
          <w:p>
            <w:pPr>
              <w:shd w:val="clear" w:color="auto" w:fill="FFFFFF"/>
              <w:jc w:val="center"/>
              <w:rPr>
                <w:bCs/>
                <w:color w:val="000000"/>
                <w:kern w:val="0"/>
                <w:sz w:val="18"/>
                <w:szCs w:val="18"/>
              </w:rPr>
            </w:pPr>
            <w:r>
              <w:rPr>
                <w:rFonts w:hint="eastAsia" w:hAnsi="宋体"/>
                <w:bCs/>
                <w:color w:val="000000"/>
                <w:kern w:val="0"/>
                <w:sz w:val="18"/>
                <w:szCs w:val="18"/>
              </w:rPr>
              <w:t>二选一</w:t>
            </w:r>
          </w:p>
          <w:p>
            <w:pPr>
              <w:shd w:val="clear" w:color="auto" w:fill="FFFFFF"/>
              <w:ind w:firstLine="180" w:firstLineChars="100"/>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vAlign w:val="center"/>
          </w:tcPr>
          <w:p>
            <w:pPr>
              <w:widowControl/>
              <w:shd w:val="clear" w:color="auto" w:fill="FFFFFF"/>
              <w:jc w:val="center"/>
              <w:rPr>
                <w:b/>
                <w:bCs/>
                <w:color w:val="000000"/>
                <w:kern w:val="0"/>
                <w:sz w:val="18"/>
                <w:szCs w:val="18"/>
              </w:rPr>
            </w:pPr>
          </w:p>
        </w:tc>
        <w:tc>
          <w:tcPr>
            <w:tcW w:w="1985" w:type="dxa"/>
            <w:gridSpan w:val="2"/>
            <w:vAlign w:val="center"/>
          </w:tcPr>
          <w:p>
            <w:pPr>
              <w:widowControl/>
              <w:shd w:val="clear" w:color="auto" w:fill="FFFFFF"/>
              <w:jc w:val="left"/>
              <w:rPr>
                <w:bCs/>
                <w:color w:val="000000"/>
                <w:kern w:val="0"/>
                <w:sz w:val="18"/>
                <w:szCs w:val="18"/>
              </w:rPr>
            </w:pPr>
            <w:r>
              <w:rPr>
                <w:rFonts w:hint="eastAsia" w:hAnsi="宋体"/>
                <w:bCs/>
                <w:color w:val="000000"/>
                <w:kern w:val="0"/>
                <w:sz w:val="18"/>
                <w:szCs w:val="18"/>
              </w:rPr>
              <w:t>自然辩证法概论</w:t>
            </w:r>
          </w:p>
        </w:tc>
        <w:tc>
          <w:tcPr>
            <w:tcW w:w="709" w:type="dxa"/>
            <w:vAlign w:val="center"/>
          </w:tcPr>
          <w:p>
            <w:pPr>
              <w:widowControl/>
              <w:shd w:val="clear" w:color="auto" w:fill="FFFFFF"/>
              <w:jc w:val="center"/>
              <w:rPr>
                <w:rFonts w:ascii="宋体" w:hAnsi="宋体"/>
                <w:bCs/>
                <w:color w:val="000000"/>
                <w:kern w:val="0"/>
                <w:sz w:val="18"/>
                <w:szCs w:val="18"/>
              </w:rPr>
            </w:pPr>
            <w:r>
              <w:rPr>
                <w:rFonts w:ascii="宋体" w:hAnsi="宋体"/>
                <w:bCs/>
                <w:color w:val="000000"/>
                <w:kern w:val="0"/>
                <w:sz w:val="18"/>
                <w:szCs w:val="18"/>
              </w:rPr>
              <w:t>1.0</w:t>
            </w:r>
          </w:p>
        </w:tc>
        <w:tc>
          <w:tcPr>
            <w:tcW w:w="1401"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春</w:t>
            </w:r>
          </w:p>
        </w:tc>
        <w:tc>
          <w:tcPr>
            <w:tcW w:w="1008"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必修</w:t>
            </w:r>
          </w:p>
        </w:tc>
        <w:tc>
          <w:tcPr>
            <w:tcW w:w="976" w:type="dxa"/>
            <w:vMerge w:val="continue"/>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vAlign w:val="center"/>
          </w:tcPr>
          <w:p>
            <w:pPr>
              <w:widowControl/>
              <w:shd w:val="clear" w:color="auto" w:fill="FFFFFF"/>
              <w:jc w:val="center"/>
              <w:rPr>
                <w:b/>
                <w:bCs/>
                <w:color w:val="000000"/>
                <w:kern w:val="0"/>
                <w:sz w:val="18"/>
                <w:szCs w:val="18"/>
              </w:rPr>
            </w:pPr>
          </w:p>
        </w:tc>
        <w:tc>
          <w:tcPr>
            <w:tcW w:w="1985" w:type="dxa"/>
            <w:gridSpan w:val="2"/>
            <w:vAlign w:val="center"/>
          </w:tcPr>
          <w:p>
            <w:pPr>
              <w:widowControl/>
              <w:shd w:val="clear" w:color="auto" w:fill="FFFFFF"/>
              <w:jc w:val="left"/>
              <w:rPr>
                <w:bCs/>
                <w:color w:val="000000"/>
                <w:kern w:val="0"/>
                <w:sz w:val="18"/>
                <w:szCs w:val="18"/>
              </w:rPr>
            </w:pPr>
            <w:r>
              <w:rPr>
                <w:rFonts w:hint="eastAsia" w:hAnsi="宋体"/>
                <w:bCs/>
                <w:color w:val="000000"/>
                <w:kern w:val="0"/>
                <w:sz w:val="18"/>
                <w:szCs w:val="18"/>
              </w:rPr>
              <w:t>硕士生英语</w:t>
            </w:r>
          </w:p>
        </w:tc>
        <w:tc>
          <w:tcPr>
            <w:tcW w:w="709" w:type="dxa"/>
            <w:vAlign w:val="center"/>
          </w:tcPr>
          <w:p>
            <w:pPr>
              <w:widowControl/>
              <w:shd w:val="clear" w:color="auto" w:fill="FFFFFF"/>
              <w:jc w:val="center"/>
              <w:rPr>
                <w:rFonts w:ascii="宋体" w:hAnsi="宋体"/>
                <w:bCs/>
                <w:color w:val="000000"/>
                <w:kern w:val="0"/>
                <w:sz w:val="18"/>
                <w:szCs w:val="18"/>
              </w:rPr>
            </w:pPr>
            <w:r>
              <w:rPr>
                <w:rFonts w:ascii="宋体" w:hAnsi="宋体"/>
                <w:bCs/>
                <w:color w:val="000000"/>
                <w:kern w:val="0"/>
                <w:sz w:val="18"/>
                <w:szCs w:val="18"/>
              </w:rPr>
              <w:t>3.0</w:t>
            </w:r>
          </w:p>
        </w:tc>
        <w:tc>
          <w:tcPr>
            <w:tcW w:w="1401"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春</w:t>
            </w:r>
            <w:r>
              <w:rPr>
                <w:bCs/>
                <w:color w:val="000000"/>
                <w:kern w:val="0"/>
                <w:sz w:val="18"/>
                <w:szCs w:val="18"/>
              </w:rPr>
              <w:t>/</w:t>
            </w:r>
            <w:r>
              <w:rPr>
                <w:rFonts w:hint="eastAsia" w:hAnsi="宋体"/>
                <w:bCs/>
                <w:color w:val="000000"/>
                <w:kern w:val="0"/>
                <w:sz w:val="18"/>
                <w:szCs w:val="18"/>
              </w:rPr>
              <w:t>秋</w:t>
            </w:r>
          </w:p>
        </w:tc>
        <w:tc>
          <w:tcPr>
            <w:tcW w:w="1984" w:type="dxa"/>
            <w:gridSpan w:val="3"/>
            <w:vAlign w:val="center"/>
          </w:tcPr>
          <w:p>
            <w:pPr>
              <w:widowControl/>
              <w:shd w:val="clear" w:color="auto" w:fill="FFFFFF"/>
              <w:jc w:val="center"/>
              <w:rPr>
                <w:b/>
                <w:bCs/>
                <w:color w:val="000000"/>
                <w:kern w:val="0"/>
                <w:sz w:val="18"/>
                <w:szCs w:val="18"/>
              </w:rPr>
            </w:pPr>
            <w:r>
              <w:rPr>
                <w:rFonts w:hint="eastAsia" w:hAnsi="宋体"/>
                <w:bCs/>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vAlign w:val="center"/>
          </w:tcPr>
          <w:p>
            <w:pPr>
              <w:widowControl/>
              <w:shd w:val="clear" w:color="auto" w:fill="FFFFFF"/>
              <w:jc w:val="center"/>
              <w:rPr>
                <w:b/>
                <w:bCs/>
                <w:color w:val="000000"/>
                <w:kern w:val="0"/>
                <w:sz w:val="18"/>
                <w:szCs w:val="18"/>
              </w:rPr>
            </w:pPr>
          </w:p>
        </w:tc>
        <w:tc>
          <w:tcPr>
            <w:tcW w:w="1985" w:type="dxa"/>
            <w:gridSpan w:val="2"/>
            <w:vAlign w:val="center"/>
          </w:tcPr>
          <w:p>
            <w:pPr>
              <w:shd w:val="clear" w:color="auto" w:fill="FFFFFF"/>
              <w:jc w:val="left"/>
              <w:rPr>
                <w:bCs/>
                <w:color w:val="000000"/>
                <w:kern w:val="0"/>
                <w:sz w:val="18"/>
                <w:szCs w:val="18"/>
              </w:rPr>
            </w:pPr>
            <w:r>
              <w:rPr>
                <w:rFonts w:hint="eastAsia" w:hAnsi="宋体"/>
                <w:bCs/>
                <w:color w:val="000000"/>
                <w:kern w:val="0"/>
                <w:sz w:val="18"/>
                <w:szCs w:val="18"/>
              </w:rPr>
              <w:t>现代农业创新与乡村振兴战略</w:t>
            </w:r>
          </w:p>
        </w:tc>
        <w:tc>
          <w:tcPr>
            <w:tcW w:w="709" w:type="dxa"/>
            <w:vAlign w:val="center"/>
          </w:tcPr>
          <w:p>
            <w:pPr>
              <w:shd w:val="clear" w:color="auto" w:fill="FFFFFF"/>
              <w:jc w:val="center"/>
              <w:rPr>
                <w:rFonts w:ascii="宋体" w:hAnsi="宋体"/>
                <w:bCs/>
                <w:color w:val="000000"/>
                <w:kern w:val="0"/>
                <w:sz w:val="18"/>
                <w:szCs w:val="18"/>
              </w:rPr>
            </w:pPr>
            <w:r>
              <w:rPr>
                <w:rFonts w:ascii="宋体" w:hAnsi="宋体"/>
                <w:bCs/>
                <w:color w:val="000000"/>
                <w:kern w:val="0"/>
                <w:sz w:val="18"/>
                <w:szCs w:val="18"/>
              </w:rPr>
              <w:t>2.0</w:t>
            </w:r>
          </w:p>
        </w:tc>
        <w:tc>
          <w:tcPr>
            <w:tcW w:w="1401"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春</w:t>
            </w:r>
            <w:r>
              <w:rPr>
                <w:bCs/>
                <w:color w:val="000000"/>
                <w:kern w:val="0"/>
                <w:sz w:val="18"/>
                <w:szCs w:val="18"/>
              </w:rPr>
              <w:t>/</w:t>
            </w:r>
            <w:r>
              <w:rPr>
                <w:rFonts w:hint="eastAsia" w:hAnsi="宋体"/>
                <w:bCs/>
                <w:color w:val="000000"/>
                <w:kern w:val="0"/>
                <w:sz w:val="18"/>
                <w:szCs w:val="18"/>
              </w:rPr>
              <w:t>秋</w:t>
            </w:r>
          </w:p>
        </w:tc>
        <w:tc>
          <w:tcPr>
            <w:tcW w:w="1984" w:type="dxa"/>
            <w:gridSpan w:val="3"/>
            <w:vAlign w:val="center"/>
          </w:tcPr>
          <w:p>
            <w:pPr>
              <w:shd w:val="clear" w:color="auto" w:fill="FFFFFF"/>
              <w:jc w:val="center"/>
              <w:rPr>
                <w:b/>
                <w:bCs/>
                <w:color w:val="000000"/>
                <w:kern w:val="0"/>
                <w:sz w:val="18"/>
                <w:szCs w:val="18"/>
              </w:rPr>
            </w:pPr>
            <w:r>
              <w:rPr>
                <w:rFonts w:hint="eastAsia" w:hAnsi="宋体"/>
                <w:bCs/>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restart"/>
            <w:vAlign w:val="center"/>
          </w:tcPr>
          <w:p>
            <w:pPr>
              <w:widowControl/>
              <w:shd w:val="clear" w:color="auto" w:fill="FFFFFF"/>
              <w:jc w:val="center"/>
              <w:rPr>
                <w:rFonts w:hAnsi="宋体"/>
                <w:bCs/>
                <w:color w:val="000000"/>
                <w:kern w:val="0"/>
                <w:sz w:val="18"/>
                <w:szCs w:val="18"/>
              </w:rPr>
            </w:pPr>
            <w:r>
              <w:rPr>
                <w:rFonts w:hint="eastAsia" w:hAnsi="宋体"/>
                <w:bCs/>
                <w:color w:val="000000"/>
                <w:kern w:val="0"/>
                <w:sz w:val="18"/>
                <w:szCs w:val="18"/>
              </w:rPr>
              <w:t>领域主干课</w:t>
            </w:r>
          </w:p>
          <w:p>
            <w:pPr>
              <w:widowControl/>
              <w:shd w:val="clear" w:color="auto" w:fill="FFFFFF"/>
              <w:jc w:val="center"/>
              <w:rPr>
                <w:bCs/>
                <w:color w:val="000000"/>
                <w:kern w:val="0"/>
                <w:sz w:val="18"/>
                <w:szCs w:val="18"/>
              </w:rPr>
            </w:pPr>
            <w:r>
              <w:rPr>
                <w:bCs/>
                <w:color w:val="000000"/>
                <w:kern w:val="0"/>
                <w:sz w:val="18"/>
                <w:szCs w:val="18"/>
              </w:rPr>
              <w:t xml:space="preserve">( 11 ) </w:t>
            </w:r>
            <w:r>
              <w:rPr>
                <w:rFonts w:hint="eastAsia" w:hAnsi="宋体"/>
                <w:bCs/>
                <w:color w:val="000000"/>
                <w:kern w:val="0"/>
                <w:sz w:val="18"/>
                <w:szCs w:val="18"/>
              </w:rPr>
              <w:t>学分</w:t>
            </w:r>
          </w:p>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38031095134001 </w:t>
            </w:r>
          </w:p>
        </w:tc>
        <w:tc>
          <w:tcPr>
            <w:tcW w:w="1985" w:type="dxa"/>
            <w:gridSpan w:val="2"/>
            <w:vAlign w:val="center"/>
          </w:tcPr>
          <w:p>
            <w:pPr>
              <w:widowControl/>
              <w:shd w:val="clear" w:color="auto" w:fill="FFFFFF"/>
              <w:spacing w:line="420" w:lineRule="atLeast"/>
              <w:jc w:val="left"/>
              <w:rPr>
                <w:rFonts w:ascii="宋体" w:cs="宋体"/>
                <w:bCs/>
                <w:color w:val="000000"/>
                <w:spacing w:val="15"/>
                <w:kern w:val="0"/>
                <w:sz w:val="18"/>
                <w:szCs w:val="18"/>
              </w:rPr>
            </w:pPr>
            <w:r>
              <w:rPr>
                <w:rFonts w:hint="eastAsia" w:ascii="宋体" w:hAnsi="宋体"/>
                <w:color w:val="000000"/>
                <w:kern w:val="0"/>
                <w:sz w:val="18"/>
                <w:szCs w:val="18"/>
              </w:rPr>
              <w:t>现代渔业进展</w:t>
            </w:r>
          </w:p>
        </w:tc>
        <w:tc>
          <w:tcPr>
            <w:tcW w:w="709" w:type="dxa"/>
            <w:vAlign w:val="center"/>
          </w:tcPr>
          <w:p>
            <w:pPr>
              <w:widowControl/>
              <w:shd w:val="clear" w:color="auto" w:fill="FFFFFF"/>
              <w:spacing w:line="420" w:lineRule="atLeast"/>
              <w:jc w:val="center"/>
              <w:rPr>
                <w:rFonts w:ascii="宋体" w:hAnsi="宋体" w:cs="宋体"/>
                <w:bCs/>
                <w:color w:val="000000"/>
                <w:spacing w:val="15"/>
                <w:kern w:val="0"/>
                <w:sz w:val="18"/>
                <w:szCs w:val="18"/>
              </w:rPr>
            </w:pPr>
            <w:r>
              <w:rPr>
                <w:rFonts w:ascii="宋体" w:hAnsi="宋体" w:cs="宋体"/>
                <w:bCs/>
                <w:color w:val="000000"/>
                <w:spacing w:val="15"/>
                <w:kern w:val="0"/>
                <w:sz w:val="18"/>
                <w:szCs w:val="18"/>
              </w:rPr>
              <w:t>3.0</w:t>
            </w:r>
          </w:p>
        </w:tc>
        <w:tc>
          <w:tcPr>
            <w:tcW w:w="1401" w:type="dxa"/>
            <w:gridSpan w:val="3"/>
            <w:vAlign w:val="center"/>
          </w:tcPr>
          <w:p>
            <w:pPr>
              <w:widowControl/>
              <w:shd w:val="clear" w:color="auto" w:fill="FFFFFF"/>
              <w:spacing w:line="420" w:lineRule="atLeast"/>
              <w:jc w:val="center"/>
              <w:rPr>
                <w:rFonts w:ascii="宋体" w:cs="宋体"/>
                <w:bCs/>
                <w:color w:val="000000"/>
                <w:spacing w:val="15"/>
                <w:kern w:val="0"/>
                <w:sz w:val="18"/>
                <w:szCs w:val="18"/>
              </w:rPr>
            </w:pPr>
            <w:r>
              <w:rPr>
                <w:rFonts w:hint="eastAsia" w:ascii="宋体" w:hAnsi="宋体" w:cs="宋体"/>
                <w:bCs/>
                <w:color w:val="000000"/>
                <w:spacing w:val="15"/>
                <w:kern w:val="0"/>
                <w:sz w:val="18"/>
                <w:szCs w:val="18"/>
              </w:rPr>
              <w:t>秋</w:t>
            </w:r>
          </w:p>
        </w:tc>
        <w:tc>
          <w:tcPr>
            <w:tcW w:w="1984" w:type="dxa"/>
            <w:gridSpan w:val="3"/>
            <w:vAlign w:val="center"/>
          </w:tcPr>
          <w:p>
            <w:pPr>
              <w:widowControl/>
              <w:shd w:val="clear" w:color="auto" w:fill="FFFFFF"/>
              <w:jc w:val="center"/>
              <w:rPr>
                <w:b/>
                <w:bCs/>
                <w:color w:val="000000"/>
                <w:kern w:val="0"/>
                <w:sz w:val="18"/>
                <w:szCs w:val="18"/>
              </w:rPr>
            </w:pPr>
            <w:r>
              <w:rPr>
                <w:rFonts w:hint="eastAsia" w:hAnsi="宋体"/>
                <w:bCs/>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38031095134002 </w:t>
            </w:r>
          </w:p>
        </w:tc>
        <w:tc>
          <w:tcPr>
            <w:tcW w:w="1985" w:type="dxa"/>
            <w:gridSpan w:val="2"/>
            <w:vAlign w:val="center"/>
          </w:tcPr>
          <w:p>
            <w:pPr>
              <w:widowControl/>
              <w:shd w:val="clear" w:color="auto" w:fill="FFFFFF"/>
              <w:spacing w:line="240" w:lineRule="exact"/>
              <w:jc w:val="left"/>
              <w:rPr>
                <w:rFonts w:ascii="宋体" w:cs="宋体"/>
                <w:bCs/>
                <w:color w:val="000000"/>
                <w:spacing w:val="15"/>
                <w:kern w:val="0"/>
                <w:sz w:val="18"/>
                <w:szCs w:val="18"/>
              </w:rPr>
            </w:pPr>
            <w:r>
              <w:rPr>
                <w:rFonts w:hint="eastAsia" w:ascii="宋体" w:hAnsi="宋体" w:cs="宋体"/>
                <w:bCs/>
                <w:color w:val="000000"/>
                <w:spacing w:val="15"/>
                <w:kern w:val="0"/>
                <w:sz w:val="18"/>
                <w:szCs w:val="18"/>
              </w:rPr>
              <w:t>渔业案例分析与研讨</w:t>
            </w:r>
          </w:p>
        </w:tc>
        <w:tc>
          <w:tcPr>
            <w:tcW w:w="709" w:type="dxa"/>
          </w:tcPr>
          <w:p>
            <w:pPr>
              <w:widowControl/>
              <w:shd w:val="clear" w:color="auto" w:fill="FFFFFF"/>
              <w:spacing w:line="420" w:lineRule="atLeast"/>
              <w:jc w:val="center"/>
              <w:rPr>
                <w:rFonts w:ascii="宋体" w:hAnsi="宋体" w:cs="宋体"/>
                <w:bCs/>
                <w:color w:val="000000"/>
                <w:spacing w:val="15"/>
                <w:kern w:val="0"/>
                <w:sz w:val="18"/>
                <w:szCs w:val="18"/>
              </w:rPr>
            </w:pPr>
            <w:r>
              <w:rPr>
                <w:rFonts w:ascii="宋体" w:hAnsi="宋体" w:cs="宋体"/>
                <w:bCs/>
                <w:color w:val="000000"/>
                <w:spacing w:val="15"/>
                <w:kern w:val="0"/>
                <w:sz w:val="18"/>
                <w:szCs w:val="18"/>
              </w:rPr>
              <w:t>2.0</w:t>
            </w:r>
          </w:p>
        </w:tc>
        <w:tc>
          <w:tcPr>
            <w:tcW w:w="1401" w:type="dxa"/>
            <w:gridSpan w:val="3"/>
            <w:vAlign w:val="center"/>
          </w:tcPr>
          <w:p>
            <w:pPr>
              <w:widowControl/>
              <w:shd w:val="clear" w:color="auto" w:fill="FFFFFF"/>
              <w:spacing w:line="420" w:lineRule="atLeast"/>
              <w:jc w:val="center"/>
              <w:rPr>
                <w:rFonts w:ascii="宋体" w:cs="宋体"/>
                <w:bCs/>
                <w:color w:val="000000"/>
                <w:spacing w:val="15"/>
                <w:kern w:val="0"/>
                <w:sz w:val="18"/>
                <w:szCs w:val="18"/>
              </w:rPr>
            </w:pPr>
            <w:r>
              <w:rPr>
                <w:rFonts w:hint="eastAsia" w:ascii="宋体" w:hAnsi="宋体" w:cs="宋体"/>
                <w:bCs/>
                <w:color w:val="000000"/>
                <w:spacing w:val="15"/>
                <w:kern w:val="0"/>
                <w:sz w:val="18"/>
                <w:szCs w:val="18"/>
              </w:rPr>
              <w:t>秋</w:t>
            </w:r>
          </w:p>
        </w:tc>
        <w:tc>
          <w:tcPr>
            <w:tcW w:w="1984" w:type="dxa"/>
            <w:gridSpan w:val="3"/>
            <w:vAlign w:val="center"/>
          </w:tcPr>
          <w:p>
            <w:pPr>
              <w:shd w:val="clear" w:color="auto" w:fill="FFFFFF"/>
              <w:jc w:val="center"/>
              <w:rPr>
                <w:b/>
                <w:bCs/>
                <w:color w:val="000000"/>
                <w:kern w:val="0"/>
                <w:sz w:val="18"/>
                <w:szCs w:val="18"/>
              </w:rPr>
            </w:pPr>
            <w:r>
              <w:rPr>
                <w:rFonts w:hint="eastAsia" w:hAnsi="宋体"/>
                <w:bCs/>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38031095134003 </w:t>
            </w:r>
          </w:p>
        </w:tc>
        <w:tc>
          <w:tcPr>
            <w:tcW w:w="1985" w:type="dxa"/>
            <w:gridSpan w:val="2"/>
            <w:vAlign w:val="center"/>
          </w:tcPr>
          <w:p>
            <w:pPr>
              <w:widowControl/>
              <w:shd w:val="clear" w:color="auto" w:fill="FFFFFF"/>
              <w:spacing w:line="420" w:lineRule="atLeast"/>
              <w:jc w:val="left"/>
              <w:rPr>
                <w:rFonts w:ascii="宋体" w:cs="宋体"/>
                <w:bCs/>
                <w:color w:val="000000"/>
                <w:spacing w:val="15"/>
                <w:kern w:val="0"/>
                <w:sz w:val="18"/>
                <w:szCs w:val="18"/>
              </w:rPr>
            </w:pPr>
            <w:r>
              <w:rPr>
                <w:rFonts w:hint="eastAsia"/>
                <w:bCs/>
                <w:color w:val="000000"/>
                <w:kern w:val="0"/>
                <w:sz w:val="18"/>
                <w:szCs w:val="18"/>
              </w:rPr>
              <w:t>水产养殖技术</w:t>
            </w:r>
          </w:p>
        </w:tc>
        <w:tc>
          <w:tcPr>
            <w:tcW w:w="709" w:type="dxa"/>
          </w:tcPr>
          <w:p>
            <w:pPr>
              <w:widowControl/>
              <w:shd w:val="clear" w:color="auto" w:fill="FFFFFF"/>
              <w:spacing w:line="420" w:lineRule="atLeast"/>
              <w:jc w:val="center"/>
              <w:rPr>
                <w:rFonts w:ascii="宋体" w:hAnsi="宋体" w:cs="宋体"/>
                <w:bCs/>
                <w:color w:val="000000"/>
                <w:spacing w:val="15"/>
                <w:kern w:val="0"/>
                <w:sz w:val="18"/>
                <w:szCs w:val="18"/>
              </w:rPr>
            </w:pPr>
            <w:r>
              <w:rPr>
                <w:rFonts w:ascii="宋体" w:hAnsi="宋体" w:cs="宋体"/>
                <w:bCs/>
                <w:color w:val="000000"/>
                <w:spacing w:val="15"/>
                <w:kern w:val="0"/>
                <w:sz w:val="18"/>
                <w:szCs w:val="18"/>
              </w:rPr>
              <w:t>2.0</w:t>
            </w:r>
          </w:p>
        </w:tc>
        <w:tc>
          <w:tcPr>
            <w:tcW w:w="1401" w:type="dxa"/>
            <w:gridSpan w:val="3"/>
            <w:vAlign w:val="center"/>
          </w:tcPr>
          <w:p>
            <w:pPr>
              <w:widowControl/>
              <w:shd w:val="clear" w:color="auto" w:fill="FFFFFF"/>
              <w:spacing w:line="420" w:lineRule="atLeast"/>
              <w:jc w:val="center"/>
              <w:rPr>
                <w:rFonts w:ascii="宋体" w:cs="宋体"/>
                <w:bCs/>
                <w:color w:val="000000"/>
                <w:spacing w:val="15"/>
                <w:kern w:val="0"/>
                <w:sz w:val="18"/>
                <w:szCs w:val="18"/>
              </w:rPr>
            </w:pPr>
            <w:r>
              <w:rPr>
                <w:rFonts w:hint="eastAsia" w:ascii="宋体" w:hAnsi="宋体" w:cs="宋体"/>
                <w:bCs/>
                <w:color w:val="000000"/>
                <w:spacing w:val="15"/>
                <w:kern w:val="0"/>
                <w:sz w:val="18"/>
                <w:szCs w:val="18"/>
              </w:rPr>
              <w:t>秋</w:t>
            </w:r>
          </w:p>
        </w:tc>
        <w:tc>
          <w:tcPr>
            <w:tcW w:w="1984" w:type="dxa"/>
            <w:gridSpan w:val="3"/>
            <w:vAlign w:val="center"/>
          </w:tcPr>
          <w:p>
            <w:pPr>
              <w:widowControl/>
              <w:shd w:val="clear" w:color="auto" w:fill="FFFFFF"/>
              <w:jc w:val="center"/>
              <w:rPr>
                <w:b/>
                <w:bCs/>
                <w:color w:val="000000"/>
                <w:kern w:val="0"/>
                <w:sz w:val="18"/>
                <w:szCs w:val="18"/>
              </w:rPr>
            </w:pPr>
            <w:r>
              <w:rPr>
                <w:rFonts w:hint="eastAsia" w:hAnsi="宋体"/>
                <w:bCs/>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38031095134004 </w:t>
            </w:r>
          </w:p>
        </w:tc>
        <w:tc>
          <w:tcPr>
            <w:tcW w:w="1985" w:type="dxa"/>
            <w:gridSpan w:val="2"/>
            <w:vAlign w:val="center"/>
          </w:tcPr>
          <w:p>
            <w:pPr>
              <w:widowControl/>
              <w:shd w:val="clear" w:color="auto" w:fill="FFFFFF"/>
              <w:spacing w:line="420" w:lineRule="atLeast"/>
              <w:jc w:val="left"/>
              <w:rPr>
                <w:rFonts w:ascii="宋体" w:cs="宋体"/>
                <w:bCs/>
                <w:color w:val="000000"/>
                <w:spacing w:val="15"/>
                <w:kern w:val="0"/>
                <w:sz w:val="18"/>
                <w:szCs w:val="18"/>
              </w:rPr>
            </w:pPr>
            <w:r>
              <w:rPr>
                <w:rFonts w:hint="eastAsia" w:ascii="宋体" w:hAnsi="宋体"/>
                <w:color w:val="000000"/>
                <w:kern w:val="0"/>
                <w:sz w:val="18"/>
                <w:szCs w:val="18"/>
              </w:rPr>
              <w:t>渔业政策与管理</w:t>
            </w:r>
          </w:p>
        </w:tc>
        <w:tc>
          <w:tcPr>
            <w:tcW w:w="709" w:type="dxa"/>
            <w:vAlign w:val="center"/>
          </w:tcPr>
          <w:p>
            <w:pPr>
              <w:widowControl/>
              <w:shd w:val="clear" w:color="auto" w:fill="FFFFFF"/>
              <w:spacing w:line="420" w:lineRule="atLeast"/>
              <w:jc w:val="center"/>
              <w:rPr>
                <w:rFonts w:ascii="宋体" w:hAnsi="宋体" w:cs="宋体"/>
                <w:bCs/>
                <w:color w:val="000000"/>
                <w:spacing w:val="15"/>
                <w:kern w:val="0"/>
                <w:sz w:val="18"/>
                <w:szCs w:val="18"/>
              </w:rPr>
            </w:pPr>
            <w:r>
              <w:rPr>
                <w:rFonts w:ascii="宋体" w:hAnsi="宋体" w:cs="宋体"/>
                <w:bCs/>
                <w:color w:val="000000"/>
                <w:spacing w:val="15"/>
                <w:kern w:val="0"/>
                <w:sz w:val="18"/>
                <w:szCs w:val="18"/>
              </w:rPr>
              <w:t>2.0</w:t>
            </w:r>
          </w:p>
        </w:tc>
        <w:tc>
          <w:tcPr>
            <w:tcW w:w="1401" w:type="dxa"/>
            <w:gridSpan w:val="3"/>
            <w:vAlign w:val="center"/>
          </w:tcPr>
          <w:p>
            <w:pPr>
              <w:widowControl/>
              <w:shd w:val="clear" w:color="auto" w:fill="FFFFFF"/>
              <w:spacing w:line="420" w:lineRule="atLeast"/>
              <w:jc w:val="center"/>
              <w:rPr>
                <w:rFonts w:ascii="宋体" w:cs="宋体"/>
                <w:bCs/>
                <w:color w:val="000000"/>
                <w:spacing w:val="15"/>
                <w:kern w:val="0"/>
                <w:sz w:val="18"/>
                <w:szCs w:val="18"/>
              </w:rPr>
            </w:pPr>
            <w:r>
              <w:rPr>
                <w:rFonts w:hint="eastAsia" w:ascii="宋体" w:hAnsi="宋体" w:cs="宋体"/>
                <w:bCs/>
                <w:color w:val="000000"/>
                <w:spacing w:val="15"/>
                <w:kern w:val="0"/>
                <w:sz w:val="18"/>
                <w:szCs w:val="18"/>
              </w:rPr>
              <w:t>秋</w:t>
            </w:r>
          </w:p>
        </w:tc>
        <w:tc>
          <w:tcPr>
            <w:tcW w:w="1984" w:type="dxa"/>
            <w:gridSpan w:val="3"/>
            <w:vAlign w:val="center"/>
          </w:tcPr>
          <w:p>
            <w:pPr>
              <w:shd w:val="clear" w:color="auto" w:fill="FFFFFF"/>
              <w:jc w:val="center"/>
              <w:rPr>
                <w:rFonts w:hAnsi="宋体"/>
                <w:bCs/>
                <w:color w:val="000000"/>
                <w:kern w:val="0"/>
                <w:sz w:val="18"/>
                <w:szCs w:val="18"/>
              </w:rPr>
            </w:pPr>
            <w:r>
              <w:rPr>
                <w:rFonts w:hint="eastAsia" w:hAnsi="宋体"/>
                <w:bCs/>
                <w:color w:val="000000"/>
                <w:kern w:val="0"/>
                <w:sz w:val="18"/>
                <w:szCs w:val="18"/>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38032095134001 </w:t>
            </w:r>
          </w:p>
        </w:tc>
        <w:tc>
          <w:tcPr>
            <w:tcW w:w="1985" w:type="dxa"/>
            <w:gridSpan w:val="2"/>
            <w:vAlign w:val="center"/>
          </w:tcPr>
          <w:p>
            <w:pPr>
              <w:widowControl/>
              <w:spacing w:line="276" w:lineRule="auto"/>
              <w:rPr>
                <w:bCs/>
                <w:color w:val="000000"/>
                <w:kern w:val="0"/>
                <w:sz w:val="18"/>
                <w:szCs w:val="18"/>
              </w:rPr>
            </w:pPr>
            <w:r>
              <w:rPr>
                <w:rFonts w:hint="eastAsia" w:ascii="宋体" w:hAnsi="宋体"/>
                <w:color w:val="000000"/>
                <w:kern w:val="0"/>
                <w:sz w:val="18"/>
                <w:szCs w:val="18"/>
              </w:rPr>
              <w:t>渔业资源养护与利用</w:t>
            </w:r>
          </w:p>
        </w:tc>
        <w:tc>
          <w:tcPr>
            <w:tcW w:w="709" w:type="dxa"/>
            <w:vAlign w:val="center"/>
          </w:tcPr>
          <w:p>
            <w:pPr>
              <w:widowControl/>
              <w:shd w:val="clear" w:color="auto" w:fill="FFFFFF"/>
              <w:spacing w:line="276" w:lineRule="auto"/>
              <w:jc w:val="center"/>
              <w:rPr>
                <w:rFonts w:ascii="宋体" w:hAnsi="宋体"/>
                <w:bCs/>
                <w:color w:val="000000"/>
                <w:kern w:val="0"/>
                <w:sz w:val="18"/>
                <w:szCs w:val="18"/>
              </w:rPr>
            </w:pPr>
            <w:r>
              <w:rPr>
                <w:rFonts w:ascii="宋体" w:hAnsi="宋体"/>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必选</w:t>
            </w:r>
          </w:p>
        </w:tc>
        <w:tc>
          <w:tcPr>
            <w:tcW w:w="976" w:type="dxa"/>
            <w:vMerge w:val="restart"/>
            <w:vAlign w:val="center"/>
          </w:tcPr>
          <w:p>
            <w:pPr>
              <w:shd w:val="clear" w:color="auto" w:fill="FFFFFF"/>
              <w:jc w:val="center"/>
              <w:rPr>
                <w:rFonts w:hAnsi="宋体"/>
                <w:bCs/>
                <w:color w:val="000000"/>
                <w:kern w:val="0"/>
                <w:sz w:val="18"/>
                <w:szCs w:val="18"/>
              </w:rPr>
            </w:pPr>
          </w:p>
          <w:p>
            <w:pPr>
              <w:shd w:val="clear" w:color="auto" w:fill="FFFFFF"/>
              <w:jc w:val="center"/>
              <w:rPr>
                <w:rFonts w:hAnsi="宋体"/>
                <w:bCs/>
                <w:color w:val="000000"/>
                <w:kern w:val="0"/>
                <w:sz w:val="18"/>
                <w:szCs w:val="18"/>
              </w:rPr>
            </w:pPr>
          </w:p>
          <w:p>
            <w:pPr>
              <w:shd w:val="clear" w:color="auto" w:fill="FFFFFF"/>
              <w:jc w:val="center"/>
              <w:rPr>
                <w:rFonts w:hAnsi="宋体"/>
                <w:bCs/>
                <w:color w:val="000000"/>
                <w:kern w:val="0"/>
                <w:sz w:val="18"/>
                <w:szCs w:val="18"/>
              </w:rPr>
            </w:pPr>
          </w:p>
          <w:p>
            <w:pPr>
              <w:shd w:val="clear" w:color="auto" w:fill="FFFFFF"/>
              <w:jc w:val="center"/>
              <w:rPr>
                <w:rFonts w:hAnsi="宋体"/>
                <w:bCs/>
                <w:color w:val="000000"/>
                <w:kern w:val="0"/>
                <w:sz w:val="18"/>
                <w:szCs w:val="18"/>
              </w:rPr>
            </w:pPr>
            <w:r>
              <w:rPr>
                <w:rFonts w:hint="eastAsia" w:hAnsi="宋体"/>
                <w:bCs/>
                <w:color w:val="000000"/>
                <w:kern w:val="0"/>
                <w:sz w:val="18"/>
                <w:szCs w:val="18"/>
              </w:rPr>
              <w:t>四选一</w:t>
            </w:r>
          </w:p>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38032095134002 </w:t>
            </w:r>
          </w:p>
        </w:tc>
        <w:tc>
          <w:tcPr>
            <w:tcW w:w="1985" w:type="dxa"/>
            <w:gridSpan w:val="2"/>
            <w:vAlign w:val="center"/>
          </w:tcPr>
          <w:p>
            <w:pPr>
              <w:widowControl/>
              <w:spacing w:line="276" w:lineRule="auto"/>
              <w:rPr>
                <w:bCs/>
                <w:color w:val="000000"/>
                <w:kern w:val="0"/>
                <w:sz w:val="18"/>
                <w:szCs w:val="18"/>
              </w:rPr>
            </w:pPr>
            <w:r>
              <w:rPr>
                <w:rFonts w:hint="eastAsia"/>
                <w:bCs/>
                <w:color w:val="000000"/>
                <w:kern w:val="0"/>
                <w:sz w:val="18"/>
                <w:szCs w:val="18"/>
              </w:rPr>
              <w:t>饲料配制与投饲技术</w:t>
            </w:r>
          </w:p>
        </w:tc>
        <w:tc>
          <w:tcPr>
            <w:tcW w:w="709" w:type="dxa"/>
            <w:vAlign w:val="center"/>
          </w:tcPr>
          <w:p>
            <w:pPr>
              <w:widowControl/>
              <w:shd w:val="clear" w:color="auto" w:fill="FFFFFF"/>
              <w:spacing w:line="276" w:lineRule="auto"/>
              <w:jc w:val="center"/>
              <w:rPr>
                <w:rFonts w:ascii="宋体" w:hAnsi="宋体"/>
                <w:bCs/>
                <w:color w:val="000000"/>
                <w:kern w:val="0"/>
                <w:sz w:val="18"/>
                <w:szCs w:val="18"/>
              </w:rPr>
            </w:pPr>
            <w:r>
              <w:rPr>
                <w:rFonts w:ascii="宋体" w:hAnsi="宋体"/>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必选</w:t>
            </w:r>
          </w:p>
        </w:tc>
        <w:tc>
          <w:tcPr>
            <w:tcW w:w="976" w:type="dxa"/>
            <w:vMerge w:val="continue"/>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38032095134003 </w:t>
            </w:r>
          </w:p>
        </w:tc>
        <w:tc>
          <w:tcPr>
            <w:tcW w:w="1985" w:type="dxa"/>
            <w:gridSpan w:val="2"/>
            <w:vAlign w:val="center"/>
          </w:tcPr>
          <w:p>
            <w:pPr>
              <w:widowControl/>
              <w:spacing w:line="276" w:lineRule="auto"/>
              <w:rPr>
                <w:bCs/>
                <w:color w:val="000000"/>
                <w:kern w:val="0"/>
                <w:sz w:val="18"/>
                <w:szCs w:val="18"/>
              </w:rPr>
            </w:pPr>
            <w:r>
              <w:rPr>
                <w:rFonts w:hint="eastAsia"/>
                <w:bCs/>
                <w:color w:val="000000"/>
                <w:kern w:val="0"/>
                <w:sz w:val="18"/>
                <w:szCs w:val="18"/>
              </w:rPr>
              <w:t>水域环境</w:t>
            </w:r>
            <w:r>
              <w:rPr>
                <w:rFonts w:hint="eastAsia" w:ascii="宋体" w:hAnsi="宋体"/>
                <w:color w:val="000000"/>
                <w:kern w:val="0"/>
                <w:sz w:val="18"/>
                <w:szCs w:val="18"/>
              </w:rPr>
              <w:t>养护</w:t>
            </w:r>
            <w:r>
              <w:rPr>
                <w:rFonts w:hint="eastAsia"/>
                <w:bCs/>
                <w:color w:val="000000"/>
                <w:kern w:val="0"/>
                <w:sz w:val="18"/>
                <w:szCs w:val="18"/>
              </w:rPr>
              <w:t>与治理</w:t>
            </w:r>
          </w:p>
        </w:tc>
        <w:tc>
          <w:tcPr>
            <w:tcW w:w="709" w:type="dxa"/>
            <w:vAlign w:val="center"/>
          </w:tcPr>
          <w:p>
            <w:pPr>
              <w:widowControl/>
              <w:shd w:val="clear" w:color="auto" w:fill="FFFFFF"/>
              <w:spacing w:line="276" w:lineRule="auto"/>
              <w:jc w:val="center"/>
              <w:rPr>
                <w:rFonts w:ascii="宋体" w:hAnsi="宋体"/>
                <w:bCs/>
                <w:color w:val="000000"/>
                <w:kern w:val="0"/>
                <w:sz w:val="18"/>
                <w:szCs w:val="18"/>
              </w:rPr>
            </w:pPr>
            <w:r>
              <w:rPr>
                <w:rFonts w:ascii="宋体" w:hAnsi="宋体"/>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必选</w:t>
            </w:r>
          </w:p>
        </w:tc>
        <w:tc>
          <w:tcPr>
            <w:tcW w:w="976" w:type="dxa"/>
            <w:vMerge w:val="continue"/>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center"/>
              <w:rPr>
                <w:bCs/>
                <w:color w:val="000000"/>
                <w:kern w:val="0"/>
                <w:sz w:val="18"/>
                <w:szCs w:val="18"/>
              </w:rPr>
            </w:pPr>
          </w:p>
        </w:tc>
        <w:tc>
          <w:tcPr>
            <w:tcW w:w="1099" w:type="dxa"/>
            <w:gridSpan w:val="2"/>
          </w:tcPr>
          <w:p>
            <w:pPr>
              <w:shd w:val="clear" w:color="auto" w:fill="FFFFFF"/>
              <w:spacing w:line="240" w:lineRule="exact"/>
              <w:jc w:val="left"/>
              <w:rPr>
                <w:rFonts w:hAnsi="宋体"/>
                <w:bCs/>
                <w:color w:val="000000"/>
                <w:kern w:val="0"/>
                <w:sz w:val="18"/>
                <w:szCs w:val="18"/>
              </w:rPr>
            </w:pPr>
            <w:r>
              <w:rPr>
                <w:rFonts w:hAnsi="宋体"/>
                <w:bCs/>
                <w:color w:val="000000"/>
                <w:kern w:val="0"/>
                <w:sz w:val="18"/>
                <w:szCs w:val="18"/>
              </w:rPr>
              <w:t xml:space="preserve">38032095134004 </w:t>
            </w:r>
          </w:p>
        </w:tc>
        <w:tc>
          <w:tcPr>
            <w:tcW w:w="1985" w:type="dxa"/>
            <w:gridSpan w:val="2"/>
            <w:vAlign w:val="center"/>
          </w:tcPr>
          <w:p>
            <w:pPr>
              <w:widowControl/>
              <w:rPr>
                <w:bCs/>
                <w:color w:val="000000"/>
                <w:kern w:val="0"/>
                <w:sz w:val="18"/>
                <w:szCs w:val="18"/>
              </w:rPr>
            </w:pPr>
            <w:r>
              <w:rPr>
                <w:rFonts w:hint="eastAsia"/>
                <w:bCs/>
                <w:color w:val="000000"/>
                <w:kern w:val="0"/>
                <w:sz w:val="18"/>
                <w:szCs w:val="18"/>
              </w:rPr>
              <w:t>水产动物疾病诊断与防控</w:t>
            </w:r>
          </w:p>
        </w:tc>
        <w:tc>
          <w:tcPr>
            <w:tcW w:w="709" w:type="dxa"/>
            <w:vAlign w:val="center"/>
          </w:tcPr>
          <w:p>
            <w:pPr>
              <w:widowControl/>
              <w:shd w:val="clear" w:color="auto" w:fill="FFFFFF"/>
              <w:spacing w:line="276" w:lineRule="auto"/>
              <w:jc w:val="center"/>
              <w:rPr>
                <w:rFonts w:ascii="宋体" w:hAnsi="宋体"/>
                <w:bCs/>
                <w:color w:val="000000"/>
                <w:kern w:val="0"/>
                <w:sz w:val="18"/>
                <w:szCs w:val="18"/>
              </w:rPr>
            </w:pPr>
            <w:r>
              <w:rPr>
                <w:rFonts w:ascii="宋体" w:hAnsi="宋体"/>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必选</w:t>
            </w:r>
          </w:p>
        </w:tc>
        <w:tc>
          <w:tcPr>
            <w:tcW w:w="976" w:type="dxa"/>
            <w:vMerge w:val="continue"/>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restart"/>
            <w:vAlign w:val="center"/>
          </w:tcPr>
          <w:p>
            <w:pPr>
              <w:widowControl/>
              <w:shd w:val="clear" w:color="auto" w:fill="FFFFFF"/>
              <w:ind w:firstLine="270" w:firstLineChars="150"/>
              <w:rPr>
                <w:rFonts w:hAnsi="宋体"/>
                <w:bCs/>
                <w:color w:val="000000"/>
                <w:kern w:val="0"/>
                <w:sz w:val="18"/>
                <w:szCs w:val="18"/>
              </w:rPr>
            </w:pPr>
            <w:r>
              <w:rPr>
                <w:rFonts w:hint="eastAsia" w:hAnsi="宋体"/>
                <w:bCs/>
                <w:color w:val="000000"/>
                <w:kern w:val="0"/>
                <w:sz w:val="18"/>
                <w:szCs w:val="18"/>
              </w:rPr>
              <w:t>选修课</w:t>
            </w:r>
          </w:p>
          <w:p>
            <w:pPr>
              <w:widowControl/>
              <w:shd w:val="clear" w:color="auto" w:fill="FFFFFF"/>
              <w:jc w:val="center"/>
              <w:rPr>
                <w:bCs/>
                <w:color w:val="000000"/>
                <w:kern w:val="0"/>
                <w:sz w:val="18"/>
                <w:szCs w:val="18"/>
              </w:rPr>
            </w:pPr>
            <w:r>
              <w:rPr>
                <w:rFonts w:hint="eastAsia" w:eastAsia="仿宋_GB2312"/>
                <w:color w:val="000000"/>
                <w:kern w:val="0"/>
                <w:sz w:val="18"/>
                <w:szCs w:val="18"/>
              </w:rPr>
              <w:t>（</w:t>
            </w:r>
            <w:r>
              <w:rPr>
                <w:rFonts w:eastAsia="仿宋_GB2312"/>
                <w:color w:val="000000"/>
                <w:kern w:val="0"/>
                <w:sz w:val="18"/>
                <w:szCs w:val="18"/>
              </w:rPr>
              <w:t>4</w:t>
            </w:r>
            <w:r>
              <w:rPr>
                <w:rFonts w:hint="eastAsia" w:eastAsia="仿宋_GB2312"/>
                <w:color w:val="000000"/>
                <w:kern w:val="0"/>
                <w:sz w:val="18"/>
                <w:szCs w:val="18"/>
              </w:rPr>
              <w:t>）</w:t>
            </w:r>
            <w:r>
              <w:rPr>
                <w:rFonts w:hint="eastAsia" w:hAnsi="宋体"/>
                <w:bCs/>
                <w:color w:val="000000"/>
                <w:kern w:val="0"/>
                <w:sz w:val="18"/>
                <w:szCs w:val="18"/>
              </w:rPr>
              <w:t>学分</w:t>
            </w:r>
          </w:p>
          <w:p>
            <w:pPr>
              <w:widowControl/>
              <w:shd w:val="clear" w:color="auto" w:fill="FFFFFF"/>
              <w:jc w:val="center"/>
              <w:rPr>
                <w:bCs/>
                <w:color w:val="000000"/>
                <w:kern w:val="0"/>
                <w:sz w:val="18"/>
                <w:szCs w:val="18"/>
              </w:rPr>
            </w:pPr>
          </w:p>
        </w:tc>
        <w:tc>
          <w:tcPr>
            <w:tcW w:w="1099" w:type="dxa"/>
            <w:gridSpan w:val="2"/>
            <w:vAlign w:val="center"/>
          </w:tcPr>
          <w:p>
            <w:pPr>
              <w:widowControl/>
              <w:shd w:val="clear" w:color="auto" w:fill="FFFFFF"/>
              <w:adjustRightInd w:val="0"/>
              <w:snapToGrid w:val="0"/>
              <w:jc w:val="left"/>
              <w:rPr>
                <w:rFonts w:hAnsi="宋体"/>
                <w:bCs/>
                <w:color w:val="000000"/>
                <w:kern w:val="0"/>
                <w:sz w:val="18"/>
                <w:szCs w:val="18"/>
              </w:rPr>
            </w:pPr>
            <w:r>
              <w:rPr>
                <w:rFonts w:hAnsi="宋体"/>
                <w:bCs/>
                <w:color w:val="000000"/>
                <w:kern w:val="0"/>
                <w:sz w:val="18"/>
                <w:szCs w:val="18"/>
              </w:rPr>
              <w:t>38022090801001</w:t>
            </w:r>
          </w:p>
        </w:tc>
        <w:tc>
          <w:tcPr>
            <w:tcW w:w="1985" w:type="dxa"/>
            <w:gridSpan w:val="2"/>
            <w:vAlign w:val="center"/>
          </w:tcPr>
          <w:p>
            <w:pPr>
              <w:widowControl/>
              <w:spacing w:line="276" w:lineRule="auto"/>
              <w:jc w:val="left"/>
              <w:rPr>
                <w:bCs/>
                <w:color w:val="000000"/>
                <w:kern w:val="0"/>
                <w:sz w:val="18"/>
                <w:szCs w:val="18"/>
              </w:rPr>
            </w:pPr>
            <w:r>
              <w:rPr>
                <w:rFonts w:hint="eastAsia"/>
                <w:bCs/>
                <w:color w:val="000000"/>
                <w:kern w:val="0"/>
                <w:sz w:val="18"/>
                <w:szCs w:val="18"/>
              </w:rPr>
              <w:t>水产动物繁殖学专题</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restart"/>
            <w:vAlign w:val="center"/>
          </w:tcPr>
          <w:p>
            <w:pPr>
              <w:jc w:val="center"/>
            </w:pPr>
            <w:r>
              <w:rPr>
                <w:rFonts w:hint="eastAsia"/>
                <w:bCs/>
                <w:color w:val="000000"/>
                <w:kern w:val="0"/>
                <w:sz w:val="18"/>
                <w:szCs w:val="18"/>
              </w:rPr>
              <w:t>研究生在导师指导下选修，完成学分要求。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w:t>
            </w:r>
            <w:r>
              <w:rPr>
                <w:rFonts w:hint="eastAsia" w:hAnsi="宋体"/>
                <w:bCs/>
                <w:color w:val="000000"/>
                <w:kern w:val="0"/>
                <w:sz w:val="18"/>
                <w:szCs w:val="18"/>
              </w:rPr>
              <w:t>12</w:t>
            </w:r>
          </w:p>
        </w:tc>
        <w:tc>
          <w:tcPr>
            <w:tcW w:w="1985" w:type="dxa"/>
            <w:gridSpan w:val="2"/>
            <w:vAlign w:val="center"/>
          </w:tcPr>
          <w:p>
            <w:pPr>
              <w:widowControl/>
              <w:spacing w:line="276" w:lineRule="auto"/>
              <w:jc w:val="left"/>
              <w:rPr>
                <w:bCs/>
                <w:color w:val="000000"/>
                <w:kern w:val="0"/>
                <w:sz w:val="18"/>
                <w:szCs w:val="18"/>
              </w:rPr>
            </w:pPr>
            <w:r>
              <w:rPr>
                <w:rFonts w:hint="eastAsia"/>
                <w:bCs/>
                <w:color w:val="000000"/>
                <w:kern w:val="0"/>
                <w:sz w:val="18"/>
                <w:szCs w:val="18"/>
              </w:rPr>
              <w:t>水产动物营养与饲料学专题</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3.0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3802209080101</w:t>
            </w:r>
            <w:r>
              <w:rPr>
                <w:rFonts w:hint="eastAsia" w:hAnsi="宋体"/>
                <w:bCs/>
                <w:color w:val="000000"/>
                <w:kern w:val="0"/>
                <w:sz w:val="18"/>
                <w:szCs w:val="18"/>
              </w:rPr>
              <w:t>1</w:t>
            </w:r>
          </w:p>
        </w:tc>
        <w:tc>
          <w:tcPr>
            <w:tcW w:w="1985" w:type="dxa"/>
            <w:gridSpan w:val="2"/>
            <w:vAlign w:val="center"/>
          </w:tcPr>
          <w:p>
            <w:pPr>
              <w:widowControl/>
              <w:spacing w:line="276" w:lineRule="auto"/>
              <w:jc w:val="left"/>
              <w:rPr>
                <w:bCs/>
                <w:color w:val="000000"/>
                <w:kern w:val="0"/>
                <w:sz w:val="18"/>
                <w:szCs w:val="18"/>
              </w:rPr>
            </w:pPr>
            <w:r>
              <w:rPr>
                <w:rFonts w:hint="eastAsia"/>
                <w:bCs/>
                <w:color w:val="000000"/>
                <w:kern w:val="0"/>
                <w:sz w:val="18"/>
                <w:szCs w:val="18"/>
              </w:rPr>
              <w:t>水产动物免疫与病害防控专题</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w:t>
            </w:r>
            <w:r>
              <w:rPr>
                <w:rFonts w:hint="eastAsia" w:hAnsi="宋体"/>
                <w:bCs/>
                <w:color w:val="000000"/>
                <w:kern w:val="0"/>
                <w:sz w:val="18"/>
                <w:szCs w:val="18"/>
              </w:rPr>
              <w:t>14</w:t>
            </w:r>
          </w:p>
        </w:tc>
        <w:tc>
          <w:tcPr>
            <w:tcW w:w="1985" w:type="dxa"/>
            <w:gridSpan w:val="2"/>
            <w:vAlign w:val="center"/>
          </w:tcPr>
          <w:p>
            <w:pPr>
              <w:widowControl/>
              <w:jc w:val="left"/>
              <w:rPr>
                <w:bCs/>
                <w:color w:val="000000"/>
                <w:kern w:val="0"/>
                <w:sz w:val="18"/>
                <w:szCs w:val="18"/>
              </w:rPr>
            </w:pPr>
            <w:r>
              <w:rPr>
                <w:rFonts w:hint="eastAsia"/>
                <w:bCs/>
                <w:color w:val="000000"/>
                <w:kern w:val="0"/>
                <w:sz w:val="18"/>
                <w:szCs w:val="18"/>
              </w:rPr>
              <w:t>高级鱼类学</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w:t>
            </w:r>
            <w:r>
              <w:rPr>
                <w:rFonts w:hint="eastAsia" w:hAnsi="宋体"/>
                <w:bCs/>
                <w:color w:val="000000"/>
                <w:kern w:val="0"/>
                <w:sz w:val="18"/>
                <w:szCs w:val="18"/>
              </w:rPr>
              <w:t>15</w:t>
            </w:r>
          </w:p>
        </w:tc>
        <w:tc>
          <w:tcPr>
            <w:tcW w:w="1985" w:type="dxa"/>
            <w:gridSpan w:val="2"/>
            <w:vAlign w:val="center"/>
          </w:tcPr>
          <w:p>
            <w:pPr>
              <w:widowControl/>
              <w:spacing w:line="276" w:lineRule="auto"/>
              <w:jc w:val="left"/>
              <w:rPr>
                <w:bCs/>
                <w:color w:val="000000"/>
                <w:kern w:val="0"/>
                <w:sz w:val="18"/>
                <w:szCs w:val="18"/>
              </w:rPr>
            </w:pPr>
            <w:r>
              <w:rPr>
                <w:rFonts w:hint="eastAsia"/>
                <w:bCs/>
                <w:color w:val="000000"/>
                <w:kern w:val="0"/>
                <w:sz w:val="18"/>
                <w:szCs w:val="18"/>
              </w:rPr>
              <w:t>水产动物药理学</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widowControl/>
              <w:shd w:val="clear" w:color="auto" w:fill="FFFFFF"/>
              <w:adjustRightInd w:val="0"/>
              <w:snapToGrid w:val="0"/>
              <w:jc w:val="left"/>
              <w:rPr>
                <w:rFonts w:hAnsi="宋体"/>
                <w:bCs/>
                <w:color w:val="000000"/>
                <w:kern w:val="0"/>
                <w:sz w:val="18"/>
                <w:szCs w:val="18"/>
              </w:rPr>
            </w:pPr>
            <w:r>
              <w:rPr>
                <w:rFonts w:hAnsi="宋体"/>
                <w:bCs/>
                <w:color w:val="000000"/>
                <w:kern w:val="0"/>
                <w:sz w:val="18"/>
                <w:szCs w:val="18"/>
              </w:rPr>
              <w:t>380220908010</w:t>
            </w:r>
            <w:r>
              <w:rPr>
                <w:rFonts w:hint="eastAsia" w:hAnsi="宋体"/>
                <w:bCs/>
                <w:color w:val="000000"/>
                <w:kern w:val="0"/>
                <w:sz w:val="18"/>
                <w:szCs w:val="18"/>
              </w:rPr>
              <w:t>16</w:t>
            </w:r>
          </w:p>
        </w:tc>
        <w:tc>
          <w:tcPr>
            <w:tcW w:w="1985" w:type="dxa"/>
            <w:gridSpan w:val="2"/>
            <w:vAlign w:val="center"/>
          </w:tcPr>
          <w:p>
            <w:pPr>
              <w:widowControl/>
              <w:jc w:val="left"/>
              <w:rPr>
                <w:bCs/>
                <w:color w:val="000000"/>
                <w:kern w:val="0"/>
                <w:sz w:val="18"/>
                <w:szCs w:val="18"/>
              </w:rPr>
            </w:pPr>
            <w:r>
              <w:rPr>
                <w:rFonts w:hint="eastAsia"/>
                <w:bCs/>
                <w:color w:val="000000"/>
                <w:kern w:val="0"/>
                <w:sz w:val="18"/>
                <w:szCs w:val="18"/>
              </w:rPr>
              <w:t>水产动物病理学</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w:t>
            </w:r>
            <w:r>
              <w:rPr>
                <w:rFonts w:hint="eastAsia" w:hAnsi="宋体"/>
                <w:bCs/>
                <w:color w:val="000000"/>
                <w:kern w:val="0"/>
                <w:sz w:val="18"/>
                <w:szCs w:val="18"/>
              </w:rPr>
              <w:t>17</w:t>
            </w:r>
          </w:p>
        </w:tc>
        <w:tc>
          <w:tcPr>
            <w:tcW w:w="1985" w:type="dxa"/>
            <w:gridSpan w:val="2"/>
            <w:vAlign w:val="center"/>
          </w:tcPr>
          <w:p>
            <w:pPr>
              <w:widowControl/>
              <w:spacing w:line="276" w:lineRule="auto"/>
              <w:jc w:val="left"/>
              <w:rPr>
                <w:bCs/>
                <w:color w:val="000000"/>
                <w:kern w:val="0"/>
                <w:sz w:val="18"/>
                <w:szCs w:val="18"/>
              </w:rPr>
            </w:pPr>
            <w:r>
              <w:rPr>
                <w:rFonts w:hint="eastAsia"/>
                <w:bCs/>
                <w:color w:val="000000"/>
                <w:kern w:val="0"/>
                <w:sz w:val="18"/>
                <w:szCs w:val="18"/>
              </w:rPr>
              <w:t>水产动物病原生物学</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w:t>
            </w:r>
            <w:r>
              <w:rPr>
                <w:rFonts w:hint="eastAsia" w:hAnsi="宋体"/>
                <w:bCs/>
                <w:color w:val="000000"/>
                <w:kern w:val="0"/>
                <w:sz w:val="18"/>
                <w:szCs w:val="18"/>
              </w:rPr>
              <w:t>18</w:t>
            </w:r>
          </w:p>
        </w:tc>
        <w:tc>
          <w:tcPr>
            <w:tcW w:w="1985" w:type="dxa"/>
            <w:gridSpan w:val="2"/>
            <w:vAlign w:val="center"/>
          </w:tcPr>
          <w:p>
            <w:pPr>
              <w:widowControl/>
              <w:spacing w:line="276" w:lineRule="auto"/>
              <w:jc w:val="left"/>
              <w:rPr>
                <w:bCs/>
                <w:color w:val="000000"/>
                <w:kern w:val="0"/>
                <w:sz w:val="18"/>
                <w:szCs w:val="18"/>
              </w:rPr>
            </w:pPr>
            <w:r>
              <w:rPr>
                <w:rFonts w:hint="eastAsia"/>
                <w:bCs/>
                <w:color w:val="000000"/>
                <w:kern w:val="0"/>
                <w:sz w:val="18"/>
                <w:szCs w:val="18"/>
              </w:rPr>
              <w:t>鱼类基因编辑技术理论与实验指导</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widowControl/>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w:t>
            </w:r>
            <w:r>
              <w:rPr>
                <w:rFonts w:hint="eastAsia" w:hAnsi="宋体"/>
                <w:bCs/>
                <w:color w:val="000000"/>
                <w:kern w:val="0"/>
                <w:sz w:val="18"/>
                <w:szCs w:val="18"/>
              </w:rPr>
              <w:t>13</w:t>
            </w:r>
          </w:p>
        </w:tc>
        <w:tc>
          <w:tcPr>
            <w:tcW w:w="1985" w:type="dxa"/>
            <w:gridSpan w:val="2"/>
            <w:vAlign w:val="center"/>
          </w:tcPr>
          <w:p>
            <w:pPr>
              <w:widowControl/>
              <w:shd w:val="clear" w:color="auto" w:fill="FFFFFF"/>
              <w:spacing w:line="276" w:lineRule="auto"/>
              <w:jc w:val="left"/>
              <w:rPr>
                <w:bCs/>
                <w:color w:val="000000"/>
                <w:kern w:val="0"/>
                <w:sz w:val="18"/>
                <w:szCs w:val="18"/>
              </w:rPr>
            </w:pPr>
            <w:r>
              <w:rPr>
                <w:rFonts w:hint="eastAsia"/>
                <w:bCs/>
                <w:color w:val="000000"/>
                <w:kern w:val="0"/>
                <w:sz w:val="18"/>
                <w:szCs w:val="18"/>
              </w:rPr>
              <w:t>高级水生生物学</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adjustRightInd w:val="0"/>
              <w:snapToGrid w:val="0"/>
              <w:jc w:val="left"/>
              <w:rPr>
                <w:rFonts w:hAnsi="宋体"/>
                <w:bCs/>
                <w:color w:val="000000"/>
                <w:kern w:val="0"/>
                <w:sz w:val="18"/>
                <w:szCs w:val="18"/>
              </w:rPr>
            </w:pPr>
            <w:r>
              <w:rPr>
                <w:rFonts w:hAnsi="宋体"/>
                <w:bCs/>
                <w:color w:val="000000"/>
                <w:kern w:val="0"/>
                <w:sz w:val="18"/>
                <w:szCs w:val="18"/>
              </w:rPr>
              <w:t>38022090801009</w:t>
            </w:r>
          </w:p>
        </w:tc>
        <w:tc>
          <w:tcPr>
            <w:tcW w:w="1985" w:type="dxa"/>
            <w:gridSpan w:val="2"/>
            <w:vAlign w:val="center"/>
          </w:tcPr>
          <w:p>
            <w:pPr>
              <w:widowControl/>
              <w:shd w:val="clear" w:color="auto" w:fill="FFFFFF"/>
              <w:spacing w:line="276" w:lineRule="auto"/>
              <w:jc w:val="left"/>
              <w:rPr>
                <w:bCs/>
                <w:color w:val="000000"/>
                <w:kern w:val="0"/>
                <w:sz w:val="18"/>
                <w:szCs w:val="18"/>
              </w:rPr>
            </w:pPr>
            <w:r>
              <w:rPr>
                <w:rFonts w:hint="eastAsia"/>
                <w:bCs/>
                <w:color w:val="000000"/>
                <w:kern w:val="0"/>
                <w:sz w:val="18"/>
                <w:szCs w:val="18"/>
              </w:rPr>
              <w:t>高级生物化学研究技术</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1099" w:type="dxa"/>
            <w:gridSpan w:val="2"/>
            <w:vAlign w:val="center"/>
          </w:tcPr>
          <w:p>
            <w:pPr>
              <w:widowControl/>
              <w:shd w:val="clear" w:color="auto" w:fill="FFFFFF"/>
              <w:adjustRightInd w:val="0"/>
              <w:snapToGrid w:val="0"/>
              <w:jc w:val="left"/>
              <w:rPr>
                <w:rFonts w:hAnsi="宋体"/>
                <w:bCs/>
                <w:color w:val="000000"/>
                <w:kern w:val="0"/>
                <w:sz w:val="18"/>
                <w:szCs w:val="18"/>
              </w:rPr>
            </w:pPr>
            <w:r>
              <w:rPr>
                <w:rFonts w:hAnsi="宋体"/>
                <w:bCs/>
                <w:color w:val="000000"/>
                <w:kern w:val="0"/>
                <w:sz w:val="18"/>
                <w:szCs w:val="18"/>
              </w:rPr>
              <w:t>38022090801010</w:t>
            </w:r>
          </w:p>
        </w:tc>
        <w:tc>
          <w:tcPr>
            <w:tcW w:w="1985" w:type="dxa"/>
            <w:gridSpan w:val="2"/>
            <w:vAlign w:val="center"/>
          </w:tcPr>
          <w:p>
            <w:pPr>
              <w:widowControl/>
              <w:spacing w:line="276" w:lineRule="auto"/>
              <w:jc w:val="left"/>
              <w:rPr>
                <w:sz w:val="18"/>
                <w:szCs w:val="18"/>
              </w:rPr>
            </w:pPr>
            <w:r>
              <w:rPr>
                <w:rFonts w:hint="eastAsia"/>
                <w:sz w:val="18"/>
                <w:szCs w:val="18"/>
              </w:rPr>
              <w:t>分子生物学实验技术</w:t>
            </w:r>
          </w:p>
        </w:tc>
        <w:tc>
          <w:tcPr>
            <w:tcW w:w="709" w:type="dxa"/>
            <w:vAlign w:val="center"/>
          </w:tcPr>
          <w:p>
            <w:pPr>
              <w:widowControl/>
              <w:shd w:val="clear" w:color="auto" w:fill="FFFFFF"/>
              <w:spacing w:line="276" w:lineRule="auto"/>
              <w:jc w:val="center"/>
              <w:rPr>
                <w:bCs/>
                <w:color w:val="000000"/>
                <w:kern w:val="0"/>
                <w:sz w:val="18"/>
                <w:szCs w:val="18"/>
              </w:rPr>
            </w:pPr>
            <w:r>
              <w:rPr>
                <w:bCs/>
                <w:color w:val="000000"/>
                <w:kern w:val="0"/>
                <w:sz w:val="18"/>
                <w:szCs w:val="18"/>
              </w:rPr>
              <w:t>2.0</w:t>
            </w:r>
          </w:p>
        </w:tc>
        <w:tc>
          <w:tcPr>
            <w:tcW w:w="1401" w:type="dxa"/>
            <w:gridSpan w:val="3"/>
            <w:vAlign w:val="center"/>
          </w:tcPr>
          <w:p>
            <w:pPr>
              <w:widowControl/>
              <w:shd w:val="clear" w:color="auto" w:fill="FFFFFF"/>
              <w:spacing w:line="276" w:lineRule="auto"/>
              <w:jc w:val="center"/>
              <w:rPr>
                <w:bCs/>
                <w:color w:val="000000"/>
                <w:kern w:val="0"/>
                <w:sz w:val="18"/>
                <w:szCs w:val="18"/>
              </w:rPr>
            </w:pPr>
            <w:r>
              <w:rPr>
                <w:rFonts w:hint="eastAsia"/>
                <w:bCs/>
                <w:color w:val="000000"/>
                <w:kern w:val="0"/>
                <w:sz w:val="18"/>
                <w:szCs w:val="18"/>
              </w:rPr>
              <w:t>秋</w:t>
            </w:r>
          </w:p>
        </w:tc>
        <w:tc>
          <w:tcPr>
            <w:tcW w:w="1008" w:type="dxa"/>
            <w:gridSpan w:val="2"/>
            <w:vAlign w:val="center"/>
          </w:tcPr>
          <w:p>
            <w:pPr>
              <w:shd w:val="clear" w:color="auto" w:fill="FFFFFF"/>
              <w:spacing w:line="276" w:lineRule="auto"/>
              <w:jc w:val="center"/>
              <w:rPr>
                <w:b/>
                <w:bCs/>
                <w:color w:val="000000"/>
                <w:kern w:val="0"/>
                <w:sz w:val="18"/>
                <w:szCs w:val="18"/>
              </w:rPr>
            </w:pPr>
            <w:r>
              <w:rPr>
                <w:rFonts w:hint="eastAsia"/>
                <w:bCs/>
                <w:color w:val="000000"/>
                <w:kern w:val="0"/>
                <w:sz w:val="18"/>
                <w:szCs w:val="18"/>
              </w:rPr>
              <w:t>选修</w:t>
            </w:r>
          </w:p>
        </w:tc>
        <w:tc>
          <w:tcPr>
            <w:tcW w:w="976" w:type="dxa"/>
            <w:vMerge w:val="continue"/>
            <w:vAlign w:val="center"/>
          </w:tcPr>
          <w:p>
            <w:pPr>
              <w:widowControl/>
              <w:shd w:val="clear" w:color="auto" w:fill="FFFFFF"/>
              <w:jc w:val="center"/>
              <w:rPr>
                <w:rFonts w:hAnsi="宋体"/>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11" w:type="dxa"/>
            <w:vMerge w:val="continue"/>
            <w:vAlign w:val="center"/>
          </w:tcPr>
          <w:p>
            <w:pPr>
              <w:widowControl/>
              <w:shd w:val="clear" w:color="auto" w:fill="FFFFFF"/>
              <w:jc w:val="left"/>
              <w:rPr>
                <w:b/>
                <w:bCs/>
                <w:color w:val="000000"/>
                <w:kern w:val="0"/>
                <w:sz w:val="18"/>
                <w:szCs w:val="18"/>
              </w:rPr>
            </w:pPr>
          </w:p>
        </w:tc>
        <w:tc>
          <w:tcPr>
            <w:tcW w:w="7178" w:type="dxa"/>
            <w:gridSpan w:val="11"/>
            <w:vAlign w:val="center"/>
          </w:tcPr>
          <w:p>
            <w:pPr>
              <w:widowControl/>
              <w:shd w:val="clear" w:color="auto" w:fill="FFFFFF"/>
              <w:jc w:val="left"/>
              <w:rPr>
                <w:rFonts w:hAnsi="宋体"/>
                <w:bCs/>
                <w:color w:val="000000"/>
                <w:kern w:val="0"/>
                <w:sz w:val="18"/>
                <w:szCs w:val="18"/>
              </w:rPr>
            </w:pPr>
            <w:r>
              <w:rPr>
                <w:rFonts w:hint="eastAsia" w:hAnsi="宋体"/>
                <w:bCs/>
                <w:color w:val="000000"/>
                <w:kern w:val="0"/>
                <w:sz w:val="18"/>
                <w:szCs w:val="18"/>
              </w:rPr>
              <w:t>说明：</w:t>
            </w:r>
          </w:p>
          <w:p>
            <w:pPr>
              <w:widowControl/>
              <w:shd w:val="clear" w:color="auto" w:fill="FFFFFF"/>
              <w:jc w:val="left"/>
              <w:rPr>
                <w:rFonts w:hAnsi="宋体"/>
                <w:bCs/>
                <w:color w:val="000000"/>
                <w:kern w:val="0"/>
                <w:sz w:val="18"/>
                <w:szCs w:val="18"/>
              </w:rPr>
            </w:pPr>
            <w:r>
              <w:rPr>
                <w:rFonts w:hint="eastAsia" w:hAnsi="宋体"/>
                <w:bCs/>
                <w:color w:val="000000"/>
                <w:kern w:val="0"/>
                <w:sz w:val="18"/>
                <w:szCs w:val="18"/>
              </w:rPr>
              <w:t>（</w:t>
            </w:r>
            <w:r>
              <w:rPr>
                <w:rFonts w:hAnsi="宋体"/>
                <w:bCs/>
                <w:color w:val="000000"/>
                <w:kern w:val="0"/>
                <w:sz w:val="18"/>
                <w:szCs w:val="18"/>
              </w:rPr>
              <w:t>1</w:t>
            </w:r>
            <w:r>
              <w:rPr>
                <w:rFonts w:hint="eastAsia" w:hAnsi="宋体"/>
                <w:bCs/>
                <w:color w:val="000000"/>
                <w:kern w:val="0"/>
                <w:sz w:val="18"/>
                <w:szCs w:val="18"/>
              </w:rPr>
              <w:t>）选修课组成包括：领域开出的教指委指导性培养方案中列出的选修课、各领域自行增设的选修课程、研究生教育管理系统中的网络在线课程（慕课）及其他选修课程。</w:t>
            </w:r>
          </w:p>
          <w:p>
            <w:pPr>
              <w:widowControl/>
              <w:shd w:val="clear" w:color="auto" w:fill="FFFFFF"/>
              <w:jc w:val="left"/>
              <w:rPr>
                <w:rFonts w:hAnsi="宋体"/>
                <w:bCs/>
                <w:color w:val="000000"/>
                <w:kern w:val="0"/>
                <w:sz w:val="18"/>
                <w:szCs w:val="18"/>
              </w:rPr>
            </w:pPr>
            <w:r>
              <w:rPr>
                <w:rFonts w:hint="eastAsia" w:hAnsi="宋体"/>
                <w:bCs/>
                <w:color w:val="000000"/>
                <w:kern w:val="0"/>
                <w:sz w:val="18"/>
                <w:szCs w:val="18"/>
              </w:rPr>
              <w:t>（</w:t>
            </w:r>
            <w:r>
              <w:rPr>
                <w:rFonts w:hAnsi="宋体"/>
                <w:bCs/>
                <w:color w:val="000000"/>
                <w:kern w:val="0"/>
                <w:sz w:val="18"/>
                <w:szCs w:val="18"/>
              </w:rPr>
              <w:t>2</w:t>
            </w:r>
            <w:r>
              <w:rPr>
                <w:rFonts w:hint="eastAsia" w:hAnsi="宋体"/>
                <w:bCs/>
                <w:color w:val="000000"/>
                <w:kern w:val="0"/>
                <w:sz w:val="18"/>
                <w:szCs w:val="18"/>
              </w:rPr>
              <w:t>）研究生必须选择</w:t>
            </w:r>
            <w:r>
              <w:rPr>
                <w:rFonts w:hAnsi="宋体"/>
                <w:bCs/>
                <w:color w:val="000000"/>
                <w:kern w:val="0"/>
                <w:sz w:val="18"/>
                <w:szCs w:val="18"/>
              </w:rPr>
              <w:t>1</w:t>
            </w:r>
            <w:r>
              <w:rPr>
                <w:rFonts w:hint="eastAsia" w:hAnsi="宋体"/>
                <w:bCs/>
                <w:color w:val="000000"/>
                <w:kern w:val="0"/>
                <w:sz w:val="18"/>
                <w:szCs w:val="18"/>
              </w:rPr>
              <w:t>门以上领域开出的教指委指导性培养方案中列出的专门面向农业硕士的选修课。</w:t>
            </w:r>
          </w:p>
          <w:p>
            <w:pPr>
              <w:widowControl/>
              <w:shd w:val="clear" w:color="auto" w:fill="FFFFFF"/>
              <w:jc w:val="left"/>
              <w:rPr>
                <w:rFonts w:hAnsi="宋体"/>
                <w:bCs/>
                <w:color w:val="000000"/>
                <w:kern w:val="0"/>
                <w:sz w:val="18"/>
                <w:szCs w:val="18"/>
              </w:rPr>
            </w:pPr>
            <w:r>
              <w:rPr>
                <w:rFonts w:hint="eastAsia" w:hAnsi="宋体"/>
                <w:bCs/>
                <w:color w:val="000000"/>
                <w:kern w:val="0"/>
                <w:sz w:val="18"/>
                <w:szCs w:val="18"/>
              </w:rPr>
              <w:t>（</w:t>
            </w:r>
            <w:r>
              <w:rPr>
                <w:rFonts w:hAnsi="宋体"/>
                <w:bCs/>
                <w:color w:val="000000"/>
                <w:kern w:val="0"/>
                <w:sz w:val="18"/>
                <w:szCs w:val="18"/>
              </w:rPr>
              <w:t>3</w:t>
            </w:r>
            <w:r>
              <w:rPr>
                <w:rFonts w:hint="eastAsia" w:hAnsi="宋体"/>
                <w:bCs/>
                <w:color w:val="000000"/>
                <w:kern w:val="0"/>
                <w:sz w:val="18"/>
                <w:szCs w:val="18"/>
              </w:rPr>
              <w:t>）研究生教育管理系统中的网络在线课程（慕课）纳入选修课范围，研究生可根据实际情况选择</w:t>
            </w:r>
            <w:r>
              <w:rPr>
                <w:rFonts w:hAnsi="宋体"/>
                <w:bCs/>
                <w:color w:val="000000"/>
                <w:kern w:val="0"/>
                <w:sz w:val="18"/>
                <w:szCs w:val="18"/>
              </w:rPr>
              <w:t>1</w:t>
            </w:r>
            <w:r>
              <w:rPr>
                <w:rFonts w:hint="eastAsia" w:hAnsi="宋体"/>
                <w:bCs/>
                <w:color w:val="000000"/>
                <w:kern w:val="0"/>
                <w:sz w:val="18"/>
                <w:szCs w:val="18"/>
              </w:rPr>
              <w:t>门课作为选修课列入培养计划，经考核合格可认定该课程学分，多选的在线课程不认定学分。</w:t>
            </w:r>
          </w:p>
          <w:p>
            <w:pPr>
              <w:widowControl/>
              <w:shd w:val="clear" w:color="auto" w:fill="FFFFFF"/>
              <w:jc w:val="left"/>
              <w:rPr>
                <w:b/>
                <w:bCs/>
                <w:color w:val="000000"/>
                <w:kern w:val="0"/>
                <w:sz w:val="18"/>
                <w:szCs w:val="18"/>
              </w:rPr>
            </w:pPr>
            <w:r>
              <w:rPr>
                <w:rFonts w:hint="eastAsia" w:hAnsi="宋体"/>
                <w:bCs/>
                <w:color w:val="000000"/>
                <w:kern w:val="0"/>
                <w:sz w:val="18"/>
                <w:szCs w:val="18"/>
              </w:rPr>
              <w:t>（</w:t>
            </w:r>
            <w:r>
              <w:rPr>
                <w:rFonts w:hAnsi="宋体"/>
                <w:bCs/>
                <w:color w:val="000000"/>
                <w:kern w:val="0"/>
                <w:sz w:val="18"/>
                <w:szCs w:val="18"/>
              </w:rPr>
              <w:t>4</w:t>
            </w:r>
            <w:r>
              <w:rPr>
                <w:rFonts w:hint="eastAsia" w:hAnsi="宋体"/>
                <w:bCs/>
                <w:color w:val="000000"/>
                <w:kern w:val="0"/>
                <w:sz w:val="18"/>
                <w:szCs w:val="18"/>
              </w:rPr>
              <w:t>）方案中未列出的选修课程，研究生可在研究生教育管理系统中选择。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widowControl/>
              <w:shd w:val="clear" w:color="auto" w:fill="FFFFFF"/>
              <w:jc w:val="left"/>
              <w:rPr>
                <w:rFonts w:ascii="黑体" w:hAnsi="黑体" w:eastAsia="黑体"/>
                <w:b/>
                <w:bCs/>
                <w:color w:val="000000"/>
                <w:kern w:val="0"/>
                <w:szCs w:val="21"/>
              </w:rPr>
            </w:pPr>
            <w:r>
              <w:rPr>
                <w:rFonts w:hint="eastAsia" w:ascii="黑体" w:hAnsi="黑体" w:eastAsia="黑体"/>
                <w:b/>
                <w:bCs/>
                <w:color w:val="000000"/>
                <w:kern w:val="0"/>
                <w:szCs w:val="21"/>
              </w:rPr>
              <w:t>二、培养环节及时间安排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Merge w:val="restart"/>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培养环节</w:t>
            </w:r>
          </w:p>
        </w:tc>
        <w:tc>
          <w:tcPr>
            <w:tcW w:w="2609" w:type="dxa"/>
            <w:gridSpan w:val="3"/>
            <w:vAlign w:val="center"/>
          </w:tcPr>
          <w:p>
            <w:pPr>
              <w:widowControl/>
              <w:shd w:val="clear" w:color="auto" w:fill="FFFFFF"/>
              <w:ind w:firstLine="180" w:firstLineChars="100"/>
              <w:jc w:val="center"/>
              <w:rPr>
                <w:bCs/>
                <w:color w:val="000000"/>
                <w:kern w:val="0"/>
                <w:sz w:val="18"/>
                <w:szCs w:val="18"/>
              </w:rPr>
            </w:pPr>
            <w:r>
              <w:rPr>
                <w:rFonts w:hint="eastAsia" w:hAnsi="宋体"/>
                <w:bCs/>
                <w:color w:val="000000"/>
                <w:kern w:val="0"/>
                <w:sz w:val="18"/>
                <w:szCs w:val="18"/>
              </w:rPr>
              <w:t>时间安排</w:t>
            </w:r>
          </w:p>
        </w:tc>
        <w:tc>
          <w:tcPr>
            <w:tcW w:w="1401" w:type="dxa"/>
            <w:gridSpan w:val="3"/>
            <w:vMerge w:val="restart"/>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学分</w:t>
            </w:r>
          </w:p>
        </w:tc>
        <w:tc>
          <w:tcPr>
            <w:tcW w:w="1417" w:type="dxa"/>
            <w:gridSpan w:val="2"/>
            <w:vMerge w:val="restart"/>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Merge w:val="continue"/>
            <w:vAlign w:val="center"/>
          </w:tcPr>
          <w:p>
            <w:pPr>
              <w:widowControl/>
              <w:shd w:val="clear" w:color="auto" w:fill="FFFFFF"/>
              <w:jc w:val="left"/>
              <w:rPr>
                <w:bCs/>
                <w:color w:val="000000"/>
                <w:kern w:val="0"/>
                <w:sz w:val="18"/>
                <w:szCs w:val="18"/>
              </w:rPr>
            </w:pPr>
          </w:p>
        </w:tc>
        <w:tc>
          <w:tcPr>
            <w:tcW w:w="1333" w:type="dxa"/>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全日制</w:t>
            </w:r>
          </w:p>
        </w:tc>
        <w:tc>
          <w:tcPr>
            <w:tcW w:w="1276" w:type="dxa"/>
            <w:gridSpan w:val="2"/>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非全日制</w:t>
            </w:r>
          </w:p>
        </w:tc>
        <w:tc>
          <w:tcPr>
            <w:tcW w:w="1401" w:type="dxa"/>
            <w:gridSpan w:val="3"/>
            <w:vMerge w:val="continue"/>
            <w:vAlign w:val="center"/>
          </w:tcPr>
          <w:p>
            <w:pPr>
              <w:widowControl/>
              <w:shd w:val="clear" w:color="auto" w:fill="FFFFFF"/>
              <w:jc w:val="left"/>
              <w:rPr>
                <w:bCs/>
                <w:color w:val="000000"/>
                <w:kern w:val="0"/>
                <w:sz w:val="18"/>
                <w:szCs w:val="18"/>
              </w:rPr>
            </w:pPr>
          </w:p>
        </w:tc>
        <w:tc>
          <w:tcPr>
            <w:tcW w:w="1417" w:type="dxa"/>
            <w:gridSpan w:val="2"/>
            <w:vMerge w:val="continue"/>
            <w:vAlign w:val="center"/>
          </w:tcPr>
          <w:p>
            <w:pPr>
              <w:widowControl/>
              <w:shd w:val="clear" w:color="auto" w:fill="FFFFFF"/>
              <w:jc w:val="left"/>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Align w:val="center"/>
          </w:tcPr>
          <w:p>
            <w:pPr>
              <w:widowControl/>
              <w:shd w:val="clear" w:color="auto" w:fill="FFFFFF"/>
              <w:jc w:val="left"/>
              <w:rPr>
                <w:bCs/>
                <w:color w:val="000000"/>
                <w:kern w:val="0"/>
                <w:sz w:val="18"/>
                <w:szCs w:val="18"/>
              </w:rPr>
            </w:pPr>
            <w:r>
              <w:rPr>
                <w:bCs/>
                <w:color w:val="000000"/>
                <w:kern w:val="0"/>
                <w:sz w:val="18"/>
                <w:szCs w:val="18"/>
              </w:rPr>
              <w:t>1.</w:t>
            </w:r>
            <w:r>
              <w:rPr>
                <w:rFonts w:hint="eastAsia" w:hAnsi="宋体"/>
                <w:bCs/>
                <w:color w:val="000000"/>
                <w:kern w:val="0"/>
                <w:sz w:val="18"/>
                <w:szCs w:val="18"/>
              </w:rPr>
              <w:t>制定培养计划</w:t>
            </w:r>
          </w:p>
        </w:tc>
        <w:tc>
          <w:tcPr>
            <w:tcW w:w="2609" w:type="dxa"/>
            <w:gridSpan w:val="3"/>
            <w:vAlign w:val="center"/>
          </w:tcPr>
          <w:p>
            <w:pPr>
              <w:widowControl/>
              <w:shd w:val="clear" w:color="auto" w:fill="FFFFFF"/>
              <w:jc w:val="center"/>
              <w:rPr>
                <w:bCs/>
                <w:color w:val="000000"/>
                <w:kern w:val="0"/>
                <w:sz w:val="18"/>
                <w:szCs w:val="18"/>
              </w:rPr>
            </w:pPr>
            <w:r>
              <w:rPr>
                <w:rFonts w:hint="eastAsia" w:hAnsi="宋体"/>
                <w:bCs/>
                <w:color w:val="000000"/>
                <w:kern w:val="0"/>
                <w:sz w:val="18"/>
                <w:szCs w:val="18"/>
              </w:rPr>
              <w:t>第一学期开学初</w:t>
            </w:r>
          </w:p>
        </w:tc>
        <w:tc>
          <w:tcPr>
            <w:tcW w:w="1401" w:type="dxa"/>
            <w:gridSpan w:val="3"/>
            <w:vAlign w:val="center"/>
          </w:tcPr>
          <w:p>
            <w:pPr>
              <w:widowControl/>
              <w:shd w:val="clear" w:color="auto" w:fill="FFFFFF"/>
              <w:jc w:val="center"/>
              <w:rPr>
                <w:bCs/>
                <w:color w:val="000000"/>
                <w:kern w:val="0"/>
                <w:sz w:val="18"/>
                <w:szCs w:val="18"/>
              </w:rPr>
            </w:pPr>
            <w:r>
              <w:rPr>
                <w:bCs/>
                <w:color w:val="000000"/>
                <w:kern w:val="0"/>
                <w:sz w:val="18"/>
                <w:szCs w:val="18"/>
              </w:rPr>
              <w:t>-</w:t>
            </w:r>
          </w:p>
        </w:tc>
        <w:tc>
          <w:tcPr>
            <w:tcW w:w="1417" w:type="dxa"/>
            <w:gridSpan w:val="2"/>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Align w:val="center"/>
          </w:tcPr>
          <w:p>
            <w:pPr>
              <w:widowControl/>
              <w:shd w:val="clear" w:color="auto" w:fill="FFFFFF"/>
              <w:jc w:val="left"/>
              <w:rPr>
                <w:bCs/>
                <w:color w:val="000000"/>
                <w:kern w:val="0"/>
                <w:sz w:val="18"/>
                <w:szCs w:val="18"/>
              </w:rPr>
            </w:pPr>
            <w:r>
              <w:rPr>
                <w:bCs/>
                <w:color w:val="000000"/>
                <w:kern w:val="0"/>
                <w:sz w:val="18"/>
                <w:szCs w:val="18"/>
              </w:rPr>
              <w:t>2.</w:t>
            </w:r>
            <w:r>
              <w:rPr>
                <w:rFonts w:hint="eastAsia" w:hAnsi="宋体"/>
                <w:bCs/>
                <w:color w:val="000000"/>
                <w:kern w:val="0"/>
                <w:sz w:val="18"/>
                <w:szCs w:val="18"/>
              </w:rPr>
              <w:t>开题报告</w:t>
            </w:r>
          </w:p>
        </w:tc>
        <w:tc>
          <w:tcPr>
            <w:tcW w:w="1333" w:type="dxa"/>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2 </w:t>
            </w:r>
            <w:r>
              <w:rPr>
                <w:rFonts w:hint="eastAsia"/>
                <w:bCs/>
                <w:color w:val="000000"/>
                <w:kern w:val="0"/>
                <w:sz w:val="18"/>
                <w:szCs w:val="18"/>
              </w:rPr>
              <w:t>学期</w:t>
            </w:r>
          </w:p>
        </w:tc>
        <w:tc>
          <w:tcPr>
            <w:tcW w:w="1276" w:type="dxa"/>
            <w:gridSpan w:val="2"/>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2 </w:t>
            </w:r>
            <w:r>
              <w:rPr>
                <w:rFonts w:hint="eastAsia"/>
                <w:bCs/>
                <w:color w:val="000000"/>
                <w:kern w:val="0"/>
                <w:sz w:val="18"/>
                <w:szCs w:val="18"/>
              </w:rPr>
              <w:t>学期</w:t>
            </w:r>
          </w:p>
        </w:tc>
        <w:tc>
          <w:tcPr>
            <w:tcW w:w="1401" w:type="dxa"/>
            <w:gridSpan w:val="3"/>
            <w:vAlign w:val="center"/>
          </w:tcPr>
          <w:p>
            <w:pPr>
              <w:widowControl/>
              <w:shd w:val="clear" w:color="auto" w:fill="FFFFFF"/>
              <w:jc w:val="center"/>
              <w:rPr>
                <w:bCs/>
                <w:color w:val="000000"/>
                <w:kern w:val="0"/>
                <w:sz w:val="18"/>
                <w:szCs w:val="18"/>
              </w:rPr>
            </w:pPr>
            <w:r>
              <w:rPr>
                <w:bCs/>
                <w:color w:val="000000"/>
                <w:kern w:val="0"/>
                <w:sz w:val="18"/>
                <w:szCs w:val="18"/>
              </w:rPr>
              <w:t>-</w:t>
            </w:r>
          </w:p>
        </w:tc>
        <w:tc>
          <w:tcPr>
            <w:tcW w:w="1417" w:type="dxa"/>
            <w:gridSpan w:val="2"/>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Align w:val="center"/>
          </w:tcPr>
          <w:p>
            <w:pPr>
              <w:widowControl/>
              <w:shd w:val="clear" w:color="auto" w:fill="FFFFFF"/>
              <w:jc w:val="left"/>
              <w:rPr>
                <w:bCs/>
                <w:color w:val="000000"/>
                <w:kern w:val="0"/>
                <w:sz w:val="18"/>
                <w:szCs w:val="18"/>
              </w:rPr>
            </w:pPr>
            <w:r>
              <w:rPr>
                <w:bCs/>
                <w:color w:val="000000"/>
                <w:kern w:val="0"/>
                <w:sz w:val="18"/>
                <w:szCs w:val="18"/>
              </w:rPr>
              <w:t>3.</w:t>
            </w:r>
            <w:r>
              <w:rPr>
                <w:rFonts w:hint="eastAsia" w:hAnsi="宋体"/>
                <w:bCs/>
                <w:color w:val="000000"/>
                <w:kern w:val="0"/>
                <w:sz w:val="18"/>
                <w:szCs w:val="18"/>
              </w:rPr>
              <w:t>中期考核</w:t>
            </w:r>
          </w:p>
        </w:tc>
        <w:tc>
          <w:tcPr>
            <w:tcW w:w="1333" w:type="dxa"/>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3 </w:t>
            </w:r>
            <w:r>
              <w:rPr>
                <w:rFonts w:hint="eastAsia"/>
                <w:bCs/>
                <w:color w:val="000000"/>
                <w:kern w:val="0"/>
                <w:sz w:val="18"/>
                <w:szCs w:val="18"/>
              </w:rPr>
              <w:t>学期</w:t>
            </w:r>
          </w:p>
        </w:tc>
        <w:tc>
          <w:tcPr>
            <w:tcW w:w="1276" w:type="dxa"/>
            <w:gridSpan w:val="2"/>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3 </w:t>
            </w:r>
            <w:r>
              <w:rPr>
                <w:rFonts w:hint="eastAsia"/>
                <w:bCs/>
                <w:color w:val="000000"/>
                <w:kern w:val="0"/>
                <w:sz w:val="18"/>
                <w:szCs w:val="18"/>
              </w:rPr>
              <w:t>学期</w:t>
            </w:r>
          </w:p>
        </w:tc>
        <w:tc>
          <w:tcPr>
            <w:tcW w:w="1401" w:type="dxa"/>
            <w:gridSpan w:val="3"/>
            <w:vAlign w:val="center"/>
          </w:tcPr>
          <w:p>
            <w:pPr>
              <w:widowControl/>
              <w:shd w:val="clear" w:color="auto" w:fill="FFFFFF"/>
              <w:jc w:val="center"/>
              <w:rPr>
                <w:bCs/>
                <w:color w:val="000000"/>
                <w:kern w:val="0"/>
                <w:sz w:val="18"/>
                <w:szCs w:val="18"/>
              </w:rPr>
            </w:pPr>
            <w:r>
              <w:rPr>
                <w:bCs/>
                <w:color w:val="000000"/>
                <w:kern w:val="0"/>
                <w:sz w:val="18"/>
                <w:szCs w:val="18"/>
              </w:rPr>
              <w:t>-</w:t>
            </w:r>
          </w:p>
        </w:tc>
        <w:tc>
          <w:tcPr>
            <w:tcW w:w="1417" w:type="dxa"/>
            <w:gridSpan w:val="2"/>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Align w:val="center"/>
          </w:tcPr>
          <w:p>
            <w:pPr>
              <w:widowControl/>
              <w:shd w:val="clear" w:color="auto" w:fill="FFFFFF"/>
              <w:jc w:val="left"/>
              <w:rPr>
                <w:bCs/>
                <w:color w:val="000000"/>
                <w:kern w:val="0"/>
                <w:sz w:val="18"/>
                <w:szCs w:val="18"/>
              </w:rPr>
            </w:pPr>
            <w:r>
              <w:rPr>
                <w:bCs/>
                <w:color w:val="000000"/>
                <w:kern w:val="0"/>
                <w:sz w:val="18"/>
                <w:szCs w:val="18"/>
              </w:rPr>
              <w:t>4.</w:t>
            </w:r>
            <w:r>
              <w:rPr>
                <w:rFonts w:hint="eastAsia" w:hAnsi="宋体"/>
                <w:bCs/>
                <w:color w:val="000000"/>
                <w:kern w:val="0"/>
                <w:sz w:val="18"/>
                <w:szCs w:val="18"/>
              </w:rPr>
              <w:t>实践训练</w:t>
            </w:r>
          </w:p>
        </w:tc>
        <w:tc>
          <w:tcPr>
            <w:tcW w:w="1333" w:type="dxa"/>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3-5 </w:t>
            </w:r>
            <w:r>
              <w:rPr>
                <w:rFonts w:hint="eastAsia"/>
                <w:bCs/>
                <w:color w:val="000000"/>
                <w:kern w:val="0"/>
                <w:sz w:val="18"/>
                <w:szCs w:val="18"/>
              </w:rPr>
              <w:t>学期</w:t>
            </w:r>
          </w:p>
        </w:tc>
        <w:tc>
          <w:tcPr>
            <w:tcW w:w="1276" w:type="dxa"/>
            <w:gridSpan w:val="2"/>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3-5 </w:t>
            </w:r>
            <w:r>
              <w:rPr>
                <w:rFonts w:hint="eastAsia"/>
                <w:bCs/>
                <w:color w:val="000000"/>
                <w:kern w:val="0"/>
                <w:sz w:val="18"/>
                <w:szCs w:val="18"/>
              </w:rPr>
              <w:t>学期</w:t>
            </w:r>
          </w:p>
        </w:tc>
        <w:tc>
          <w:tcPr>
            <w:tcW w:w="1401" w:type="dxa"/>
            <w:gridSpan w:val="3"/>
            <w:vAlign w:val="center"/>
          </w:tcPr>
          <w:p>
            <w:pPr>
              <w:widowControl/>
              <w:shd w:val="clear" w:color="auto" w:fill="FFFFFF"/>
              <w:jc w:val="center"/>
              <w:rPr>
                <w:bCs/>
                <w:color w:val="000000"/>
                <w:kern w:val="0"/>
                <w:sz w:val="18"/>
                <w:szCs w:val="18"/>
              </w:rPr>
            </w:pPr>
            <w:r>
              <w:rPr>
                <w:bCs/>
                <w:color w:val="000000"/>
                <w:kern w:val="0"/>
                <w:sz w:val="18"/>
                <w:szCs w:val="18"/>
              </w:rPr>
              <w:t>6</w:t>
            </w:r>
          </w:p>
        </w:tc>
        <w:tc>
          <w:tcPr>
            <w:tcW w:w="1417" w:type="dxa"/>
            <w:gridSpan w:val="2"/>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Align w:val="center"/>
          </w:tcPr>
          <w:p>
            <w:pPr>
              <w:widowControl/>
              <w:shd w:val="clear" w:color="auto" w:fill="FFFFFF"/>
              <w:jc w:val="left"/>
              <w:rPr>
                <w:bCs/>
                <w:color w:val="000000"/>
                <w:kern w:val="0"/>
                <w:sz w:val="18"/>
                <w:szCs w:val="18"/>
              </w:rPr>
            </w:pPr>
            <w:r>
              <w:rPr>
                <w:bCs/>
                <w:color w:val="000000"/>
                <w:kern w:val="0"/>
                <w:sz w:val="18"/>
                <w:szCs w:val="18"/>
              </w:rPr>
              <w:t>5.</w:t>
            </w:r>
            <w:r>
              <w:rPr>
                <w:rFonts w:hint="eastAsia" w:hAnsi="宋体"/>
                <w:bCs/>
                <w:color w:val="000000"/>
                <w:kern w:val="0"/>
                <w:sz w:val="18"/>
                <w:szCs w:val="18"/>
              </w:rPr>
              <w:t>学术交流</w:t>
            </w:r>
          </w:p>
        </w:tc>
        <w:tc>
          <w:tcPr>
            <w:tcW w:w="1333" w:type="dxa"/>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1-5 </w:t>
            </w:r>
            <w:r>
              <w:rPr>
                <w:rFonts w:hint="eastAsia"/>
                <w:bCs/>
                <w:color w:val="000000"/>
                <w:kern w:val="0"/>
                <w:sz w:val="18"/>
                <w:szCs w:val="18"/>
              </w:rPr>
              <w:t>学期</w:t>
            </w:r>
          </w:p>
        </w:tc>
        <w:tc>
          <w:tcPr>
            <w:tcW w:w="1276" w:type="dxa"/>
            <w:gridSpan w:val="2"/>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1-5 </w:t>
            </w:r>
            <w:r>
              <w:rPr>
                <w:rFonts w:hint="eastAsia"/>
                <w:bCs/>
                <w:color w:val="000000"/>
                <w:kern w:val="0"/>
                <w:sz w:val="18"/>
                <w:szCs w:val="18"/>
              </w:rPr>
              <w:t>学期</w:t>
            </w:r>
          </w:p>
        </w:tc>
        <w:tc>
          <w:tcPr>
            <w:tcW w:w="1401" w:type="dxa"/>
            <w:gridSpan w:val="3"/>
            <w:vAlign w:val="center"/>
          </w:tcPr>
          <w:p>
            <w:pPr>
              <w:widowControl/>
              <w:shd w:val="clear" w:color="auto" w:fill="FFFFFF"/>
              <w:jc w:val="center"/>
              <w:rPr>
                <w:bCs/>
                <w:color w:val="000000"/>
                <w:kern w:val="0"/>
                <w:sz w:val="18"/>
                <w:szCs w:val="18"/>
              </w:rPr>
            </w:pPr>
            <w:r>
              <w:rPr>
                <w:bCs/>
                <w:color w:val="000000"/>
                <w:kern w:val="0"/>
                <w:sz w:val="18"/>
                <w:szCs w:val="18"/>
              </w:rPr>
              <w:t>1</w:t>
            </w:r>
          </w:p>
        </w:tc>
        <w:tc>
          <w:tcPr>
            <w:tcW w:w="1417" w:type="dxa"/>
            <w:gridSpan w:val="2"/>
            <w:vAlign w:val="center"/>
          </w:tcPr>
          <w:p>
            <w:pPr>
              <w:widowControl/>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Align w:val="center"/>
          </w:tcPr>
          <w:p>
            <w:pPr>
              <w:shd w:val="clear" w:color="auto" w:fill="FFFFFF"/>
              <w:jc w:val="left"/>
              <w:rPr>
                <w:bCs/>
                <w:color w:val="000000"/>
                <w:kern w:val="0"/>
                <w:sz w:val="18"/>
                <w:szCs w:val="18"/>
              </w:rPr>
            </w:pPr>
            <w:r>
              <w:rPr>
                <w:bCs/>
                <w:color w:val="000000"/>
                <w:kern w:val="0"/>
                <w:sz w:val="18"/>
                <w:szCs w:val="18"/>
              </w:rPr>
              <w:t>6.</w:t>
            </w:r>
            <w:r>
              <w:rPr>
                <w:rFonts w:hint="eastAsia" w:hAnsi="宋体"/>
                <w:bCs/>
                <w:color w:val="000000"/>
                <w:kern w:val="0"/>
                <w:sz w:val="18"/>
                <w:szCs w:val="18"/>
              </w:rPr>
              <w:t>撰写文献综述或专题报告</w:t>
            </w:r>
          </w:p>
        </w:tc>
        <w:tc>
          <w:tcPr>
            <w:tcW w:w="1333" w:type="dxa"/>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1-</w:t>
            </w:r>
            <w:r>
              <w:rPr>
                <w:rFonts w:hint="eastAsia"/>
                <w:bCs/>
                <w:color w:val="000000"/>
                <w:kern w:val="0"/>
                <w:sz w:val="18"/>
                <w:szCs w:val="18"/>
                <w:u w:val="single"/>
              </w:rPr>
              <w:t>3</w:t>
            </w:r>
            <w:r>
              <w:rPr>
                <w:bCs/>
                <w:color w:val="000000"/>
                <w:kern w:val="0"/>
                <w:sz w:val="18"/>
                <w:szCs w:val="18"/>
                <w:u w:val="single"/>
              </w:rPr>
              <w:t xml:space="preserve"> </w:t>
            </w:r>
            <w:r>
              <w:rPr>
                <w:rFonts w:hint="eastAsia"/>
                <w:bCs/>
                <w:color w:val="000000"/>
                <w:kern w:val="0"/>
                <w:sz w:val="18"/>
                <w:szCs w:val="18"/>
              </w:rPr>
              <w:t>学期</w:t>
            </w:r>
          </w:p>
        </w:tc>
        <w:tc>
          <w:tcPr>
            <w:tcW w:w="1276" w:type="dxa"/>
            <w:gridSpan w:val="2"/>
            <w:vAlign w:val="center"/>
          </w:tcPr>
          <w:p>
            <w:pPr>
              <w:widowControl/>
              <w:shd w:val="clear" w:color="auto" w:fill="FFFFFF"/>
              <w:jc w:val="center"/>
              <w:rPr>
                <w:bCs/>
                <w:color w:val="000000"/>
                <w:kern w:val="0"/>
                <w:sz w:val="18"/>
                <w:szCs w:val="18"/>
              </w:rPr>
            </w:pPr>
            <w:r>
              <w:rPr>
                <w:rFonts w:hint="eastAsia"/>
                <w:bCs/>
                <w:color w:val="000000"/>
                <w:kern w:val="0"/>
                <w:sz w:val="18"/>
                <w:szCs w:val="18"/>
              </w:rPr>
              <w:t>第</w:t>
            </w:r>
            <w:r>
              <w:rPr>
                <w:bCs/>
                <w:color w:val="000000"/>
                <w:kern w:val="0"/>
                <w:sz w:val="18"/>
                <w:szCs w:val="18"/>
                <w:u w:val="single"/>
              </w:rPr>
              <w:t xml:space="preserve"> 1-</w:t>
            </w:r>
            <w:r>
              <w:rPr>
                <w:rFonts w:hint="eastAsia"/>
                <w:bCs/>
                <w:color w:val="000000"/>
                <w:kern w:val="0"/>
                <w:sz w:val="18"/>
                <w:szCs w:val="18"/>
                <w:u w:val="single"/>
              </w:rPr>
              <w:t>3</w:t>
            </w:r>
            <w:r>
              <w:rPr>
                <w:bCs/>
                <w:color w:val="000000"/>
                <w:kern w:val="0"/>
                <w:sz w:val="18"/>
                <w:szCs w:val="18"/>
                <w:u w:val="single"/>
              </w:rPr>
              <w:t xml:space="preserve"> </w:t>
            </w:r>
            <w:r>
              <w:rPr>
                <w:rFonts w:hint="eastAsia"/>
                <w:bCs/>
                <w:color w:val="000000"/>
                <w:kern w:val="0"/>
                <w:sz w:val="18"/>
                <w:szCs w:val="18"/>
              </w:rPr>
              <w:t>学期</w:t>
            </w:r>
          </w:p>
        </w:tc>
        <w:tc>
          <w:tcPr>
            <w:tcW w:w="1401" w:type="dxa"/>
            <w:gridSpan w:val="3"/>
            <w:vAlign w:val="center"/>
          </w:tcPr>
          <w:p>
            <w:pPr>
              <w:widowControl/>
              <w:shd w:val="clear" w:color="auto" w:fill="FFFFFF"/>
              <w:jc w:val="center"/>
              <w:rPr>
                <w:bCs/>
                <w:color w:val="000000"/>
                <w:kern w:val="0"/>
                <w:sz w:val="18"/>
                <w:szCs w:val="18"/>
              </w:rPr>
            </w:pPr>
            <w:r>
              <w:rPr>
                <w:bCs/>
                <w:color w:val="000000"/>
                <w:kern w:val="0"/>
                <w:sz w:val="18"/>
                <w:szCs w:val="18"/>
              </w:rPr>
              <w:t>1</w:t>
            </w:r>
          </w:p>
        </w:tc>
        <w:tc>
          <w:tcPr>
            <w:tcW w:w="1417" w:type="dxa"/>
            <w:gridSpan w:val="2"/>
            <w:vAlign w:val="center"/>
          </w:tcPr>
          <w:p>
            <w:pPr>
              <w:shd w:val="clear" w:color="auto" w:fill="FFFFFF"/>
              <w:jc w:val="center"/>
              <w:rPr>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962" w:type="dxa"/>
            <w:gridSpan w:val="4"/>
            <w:vAlign w:val="center"/>
          </w:tcPr>
          <w:p>
            <w:pPr>
              <w:widowControl/>
              <w:shd w:val="clear" w:color="auto" w:fill="FFFFFF"/>
              <w:jc w:val="left"/>
              <w:rPr>
                <w:bCs/>
                <w:color w:val="000000"/>
                <w:kern w:val="0"/>
                <w:sz w:val="18"/>
                <w:szCs w:val="18"/>
              </w:rPr>
            </w:pPr>
            <w:r>
              <w:rPr>
                <w:bCs/>
                <w:color w:val="000000"/>
                <w:kern w:val="0"/>
                <w:sz w:val="18"/>
                <w:szCs w:val="18"/>
              </w:rPr>
              <w:t>7.</w:t>
            </w:r>
            <w:r>
              <w:rPr>
                <w:rFonts w:hint="eastAsia" w:hAnsi="宋体"/>
                <w:bCs/>
                <w:color w:val="000000"/>
                <w:kern w:val="0"/>
                <w:sz w:val="18"/>
                <w:szCs w:val="18"/>
              </w:rPr>
              <w:t>同等学力或跨学科考生补修本学科主干课程</w:t>
            </w:r>
          </w:p>
        </w:tc>
        <w:tc>
          <w:tcPr>
            <w:tcW w:w="5427" w:type="dxa"/>
            <w:gridSpan w:val="8"/>
            <w:vAlign w:val="center"/>
          </w:tcPr>
          <w:p>
            <w:pPr>
              <w:widowControl/>
              <w:shd w:val="clear" w:color="auto" w:fill="FFFFFF"/>
              <w:jc w:val="left"/>
              <w:rPr>
                <w:bCs/>
                <w:color w:val="000000"/>
                <w:kern w:val="0"/>
                <w:sz w:val="18"/>
                <w:szCs w:val="18"/>
              </w:rPr>
            </w:pPr>
            <w:r>
              <w:rPr>
                <w:rFonts w:hint="eastAsia" w:hAnsi="宋体"/>
                <w:bCs/>
                <w:color w:val="000000"/>
                <w:kern w:val="0"/>
                <w:sz w:val="18"/>
                <w:szCs w:val="18"/>
              </w:rPr>
              <w:t>以同等学力和跨一级学科录取的研究生，至少应补修该专业本科阶段主干课程</w:t>
            </w:r>
            <w:r>
              <w:rPr>
                <w:bCs/>
                <w:color w:val="000000"/>
                <w:kern w:val="0"/>
                <w:sz w:val="18"/>
                <w:szCs w:val="18"/>
              </w:rPr>
              <w:t>2</w:t>
            </w:r>
            <w:r>
              <w:rPr>
                <w:rFonts w:hint="eastAsia" w:hAnsi="宋体"/>
                <w:bCs/>
                <w:color w:val="000000"/>
                <w:kern w:val="0"/>
                <w:sz w:val="18"/>
                <w:szCs w:val="18"/>
              </w:rPr>
              <w:t>门。是否需要补修，可由导师和学院决定。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widowControl/>
              <w:shd w:val="clear" w:color="auto" w:fill="FFFFFF"/>
              <w:rPr>
                <w:rFonts w:ascii="黑体" w:hAnsi="黑体" w:eastAsia="黑体"/>
                <w:b/>
                <w:bCs/>
                <w:color w:val="000000"/>
                <w:kern w:val="0"/>
                <w:szCs w:val="21"/>
              </w:rPr>
            </w:pPr>
            <w:r>
              <w:rPr>
                <w:rFonts w:hint="eastAsia" w:ascii="黑体" w:hAnsi="黑体" w:eastAsia="黑体"/>
                <w:b/>
                <w:bCs/>
                <w:color w:val="000000"/>
                <w:kern w:val="0"/>
                <w:szCs w:val="21"/>
              </w:rPr>
              <w:t>三、培养环节具体标准及考核要求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shd w:val="clear" w:color="auto" w:fill="FFFFFF"/>
              <w:rPr>
                <w:b/>
                <w:bCs/>
                <w:color w:val="000000"/>
                <w:kern w:val="0"/>
                <w:sz w:val="18"/>
                <w:szCs w:val="18"/>
              </w:rPr>
            </w:pPr>
            <w:r>
              <w:rPr>
                <w:rFonts w:hint="eastAsia" w:hAnsi="宋体"/>
                <w:b/>
                <w:bCs/>
                <w:color w:val="000000"/>
                <w:kern w:val="0"/>
                <w:sz w:val="18"/>
                <w:szCs w:val="18"/>
              </w:rPr>
              <w:t>（一）开题报告</w:t>
            </w:r>
          </w:p>
          <w:p>
            <w:pPr>
              <w:shd w:val="clear" w:color="auto" w:fill="FFFFFF"/>
              <w:rPr>
                <w:rFonts w:hAnsi="宋体"/>
                <w:bCs/>
                <w:color w:val="000000"/>
                <w:kern w:val="0"/>
                <w:sz w:val="18"/>
                <w:szCs w:val="18"/>
              </w:rPr>
            </w:pPr>
            <w:r>
              <w:rPr>
                <w:bCs/>
                <w:color w:val="000000"/>
                <w:kern w:val="0"/>
                <w:sz w:val="18"/>
                <w:szCs w:val="18"/>
              </w:rPr>
              <w:t xml:space="preserve">    </w:t>
            </w:r>
            <w:r>
              <w:rPr>
                <w:rFonts w:hint="eastAsia" w:hAnsi="宋体"/>
                <w:bCs/>
                <w:color w:val="000000"/>
                <w:kern w:val="0"/>
                <w:sz w:val="18"/>
                <w:szCs w:val="18"/>
              </w:rPr>
              <w:t>开题报告是对学位论文选题、专业基础知识和专业技能掌握程度的评定，是保证学位论文质量的关键环节。开题报告内容主要对学位论文的立题依据、研究内容和目标、研究方案设计及可行性分析、研究的特色与创新之处、研究基础与工作条件等方面进行论证。农业硕士的选题要求直接来源于生产实际或具有明确的生产背景和应用价值，能解决农业发展中的实际问题，选题内容应与所属领域相符合。</w:t>
            </w:r>
          </w:p>
          <w:p>
            <w:pPr>
              <w:shd w:val="clear" w:color="auto" w:fill="FFFFFF"/>
              <w:rPr>
                <w:rFonts w:hAnsi="宋体"/>
                <w:bCs/>
                <w:color w:val="000000"/>
                <w:kern w:val="0"/>
                <w:sz w:val="18"/>
                <w:szCs w:val="18"/>
              </w:rPr>
            </w:pPr>
            <w:r>
              <w:rPr>
                <w:rFonts w:hAnsi="宋体"/>
                <w:bCs/>
                <w:color w:val="000000"/>
                <w:kern w:val="0"/>
                <w:sz w:val="18"/>
                <w:szCs w:val="18"/>
              </w:rPr>
              <w:t xml:space="preserve">    </w:t>
            </w:r>
            <w:r>
              <w:rPr>
                <w:rFonts w:hint="eastAsia" w:hAnsi="宋体"/>
                <w:bCs/>
                <w:color w:val="000000"/>
                <w:kern w:val="0"/>
                <w:sz w:val="18"/>
                <w:szCs w:val="18"/>
              </w:rPr>
              <w:t>二年制研究生于第二学期内完成开题，三年制研究生于第三学期内完成。</w:t>
            </w:r>
          </w:p>
          <w:p>
            <w:pPr>
              <w:shd w:val="clear" w:color="auto" w:fill="FFFFFF"/>
              <w:rPr>
                <w:bCs/>
                <w:color w:val="000000"/>
                <w:kern w:val="0"/>
                <w:sz w:val="18"/>
                <w:szCs w:val="18"/>
              </w:rPr>
            </w:pPr>
          </w:p>
          <w:p>
            <w:pPr>
              <w:shd w:val="clear" w:color="auto" w:fill="FFFFFF"/>
              <w:rPr>
                <w:b/>
                <w:bCs/>
                <w:color w:val="000000"/>
                <w:kern w:val="0"/>
                <w:sz w:val="18"/>
                <w:szCs w:val="18"/>
              </w:rPr>
            </w:pPr>
            <w:r>
              <w:rPr>
                <w:rFonts w:hint="eastAsia" w:hAnsi="宋体"/>
                <w:b/>
                <w:bCs/>
                <w:color w:val="000000"/>
                <w:kern w:val="0"/>
                <w:sz w:val="18"/>
                <w:szCs w:val="18"/>
              </w:rPr>
              <w:t>（二）中期考核</w:t>
            </w:r>
          </w:p>
          <w:p>
            <w:pPr>
              <w:shd w:val="clear" w:color="auto" w:fill="FFFFFF"/>
              <w:rPr>
                <w:rFonts w:hAnsi="宋体"/>
                <w:bCs/>
                <w:color w:val="000000"/>
                <w:kern w:val="0"/>
                <w:sz w:val="18"/>
                <w:szCs w:val="18"/>
              </w:rPr>
            </w:pPr>
            <w:r>
              <w:rPr>
                <w:bCs/>
                <w:color w:val="000000"/>
                <w:kern w:val="0"/>
                <w:sz w:val="18"/>
                <w:szCs w:val="18"/>
              </w:rPr>
              <w:t xml:space="preserve">    </w:t>
            </w:r>
            <w:r>
              <w:rPr>
                <w:rFonts w:hint="eastAsia" w:hAnsi="宋体"/>
                <w:bCs/>
                <w:color w:val="000000"/>
                <w:kern w:val="0"/>
                <w:sz w:val="18"/>
                <w:szCs w:val="18"/>
              </w:rPr>
              <w:t>中期考核是对研究生入学以来的思想品德表现、课程学习和科研能力等方面进行的综合评定。研究生中期考核可结合学位论文开题工作进行。二年制研究生须在第二学期完成中期考核、三年制硕士生须在第三学期完成中期考核。</w:t>
            </w:r>
          </w:p>
          <w:p>
            <w:pPr>
              <w:shd w:val="clear" w:color="auto" w:fill="FFFFFF"/>
              <w:rPr>
                <w:bCs/>
                <w:color w:val="000000"/>
                <w:kern w:val="0"/>
                <w:sz w:val="18"/>
                <w:szCs w:val="18"/>
              </w:rPr>
            </w:pPr>
          </w:p>
          <w:p>
            <w:pPr>
              <w:shd w:val="clear" w:color="auto" w:fill="FFFFFF"/>
              <w:rPr>
                <w:b/>
                <w:bCs/>
                <w:color w:val="000000"/>
                <w:kern w:val="0"/>
                <w:sz w:val="18"/>
                <w:szCs w:val="18"/>
              </w:rPr>
            </w:pPr>
            <w:r>
              <w:rPr>
                <w:rFonts w:hint="eastAsia" w:hAnsi="宋体"/>
                <w:b/>
                <w:bCs/>
                <w:color w:val="000000"/>
                <w:kern w:val="0"/>
                <w:sz w:val="18"/>
                <w:szCs w:val="18"/>
              </w:rPr>
              <w:t>（三）实践训练</w:t>
            </w:r>
          </w:p>
          <w:p>
            <w:pPr>
              <w:shd w:val="clear" w:color="auto" w:fill="FFFFFF"/>
              <w:rPr>
                <w:rFonts w:hAnsi="宋体"/>
                <w:bCs/>
                <w:color w:val="000000"/>
                <w:kern w:val="0"/>
                <w:sz w:val="18"/>
                <w:szCs w:val="18"/>
              </w:rPr>
            </w:pPr>
            <w:r>
              <w:rPr>
                <w:bCs/>
                <w:color w:val="000000"/>
                <w:kern w:val="0"/>
                <w:sz w:val="18"/>
                <w:szCs w:val="18"/>
              </w:rPr>
              <w:t xml:space="preserve">    </w:t>
            </w:r>
            <w:r>
              <w:rPr>
                <w:rFonts w:hint="eastAsia" w:hAnsi="宋体"/>
                <w:bCs/>
                <w:color w:val="000000"/>
                <w:kern w:val="0"/>
                <w:sz w:val="18"/>
                <w:szCs w:val="18"/>
              </w:rPr>
              <w:t>根据培养需要建立稳定的农业硕士渔业发展领域专业学位研究生校外实践基地，加强研究生的实践训练，实行校内、校外双导师制，促进实践与课程教学和学位论文工作的紧密结合，注重在实践中培养研究生解决实际问题的意识和能力。实践训练不少于</w:t>
            </w:r>
            <w:r>
              <w:rPr>
                <w:rFonts w:hAnsi="宋体"/>
                <w:bCs/>
                <w:color w:val="000000"/>
                <w:kern w:val="0"/>
                <w:sz w:val="18"/>
                <w:szCs w:val="18"/>
              </w:rPr>
              <w:t>6</w:t>
            </w:r>
            <w:r>
              <w:rPr>
                <w:rFonts w:hint="eastAsia" w:hAnsi="宋体"/>
                <w:bCs/>
                <w:color w:val="000000"/>
                <w:kern w:val="0"/>
                <w:sz w:val="18"/>
                <w:szCs w:val="18"/>
              </w:rPr>
              <w:t>个月。</w:t>
            </w:r>
          </w:p>
          <w:p>
            <w:pPr>
              <w:shd w:val="clear" w:color="auto" w:fill="FFFFFF"/>
              <w:rPr>
                <w:rFonts w:hAnsi="宋体"/>
                <w:bCs/>
                <w:color w:val="000000"/>
                <w:kern w:val="0"/>
                <w:sz w:val="18"/>
                <w:szCs w:val="18"/>
                <w:highlight w:val="cyan"/>
              </w:rPr>
            </w:pPr>
            <w:r>
              <w:rPr>
                <w:rFonts w:hAnsi="宋体"/>
                <w:bCs/>
                <w:color w:val="000000"/>
                <w:kern w:val="0"/>
                <w:sz w:val="18"/>
                <w:szCs w:val="18"/>
              </w:rPr>
              <w:t xml:space="preserve">    </w:t>
            </w:r>
            <w:r>
              <w:rPr>
                <w:rFonts w:hint="eastAsia" w:hAnsi="宋体"/>
                <w:bCs/>
                <w:color w:val="000000"/>
                <w:kern w:val="0"/>
                <w:sz w:val="18"/>
                <w:szCs w:val="18"/>
              </w:rPr>
              <w:t>实践训练包括教学实践、科研实践（生产实习）和社会实践。实践训练环节一般在校外研究生联合培养实践基地完成，此外，导师也可以结合自身所承担的科研课题，安排研究生在校内外可开展实践训练的企事业实验室、农事训练场所进行科研或工程项目、技术岗位、管理岗位、案例模拟训练以及其它形式的实践训练。</w:t>
            </w:r>
            <w:r>
              <w:rPr>
                <w:rFonts w:hint="eastAsia" w:hAnsi="宋体"/>
                <w:bCs/>
                <w:color w:val="000000"/>
                <w:kern w:val="0"/>
                <w:sz w:val="18"/>
                <w:szCs w:val="18"/>
                <w:highlight w:val="cyan"/>
              </w:rPr>
              <w:t>研究生参加校、院组织的“三下乡”活动</w:t>
            </w:r>
            <w:r>
              <w:rPr>
                <w:rFonts w:hAnsi="宋体"/>
                <w:bCs/>
                <w:color w:val="000000"/>
                <w:kern w:val="0"/>
                <w:sz w:val="18"/>
                <w:szCs w:val="18"/>
                <w:highlight w:val="cyan"/>
              </w:rPr>
              <w:t>3</w:t>
            </w:r>
            <w:r>
              <w:rPr>
                <w:rFonts w:hint="eastAsia" w:hAnsi="宋体"/>
                <w:bCs/>
                <w:color w:val="000000"/>
                <w:kern w:val="0"/>
                <w:sz w:val="18"/>
                <w:szCs w:val="18"/>
                <w:highlight w:val="cyan"/>
              </w:rPr>
              <w:t>天以上，或研究生承担实验教学</w:t>
            </w:r>
            <w:r>
              <w:rPr>
                <w:rFonts w:hAnsi="宋体"/>
                <w:bCs/>
                <w:color w:val="000000"/>
                <w:kern w:val="0"/>
                <w:sz w:val="18"/>
                <w:szCs w:val="18"/>
                <w:highlight w:val="cyan"/>
              </w:rPr>
              <w:t>4</w:t>
            </w:r>
            <w:r>
              <w:rPr>
                <w:rFonts w:hint="eastAsia" w:hAnsi="宋体"/>
                <w:bCs/>
                <w:color w:val="000000"/>
                <w:kern w:val="0"/>
                <w:sz w:val="18"/>
                <w:szCs w:val="18"/>
                <w:highlight w:val="cyan"/>
              </w:rPr>
              <w:t>学时以上的可纳入实践训练，计</w:t>
            </w:r>
            <w:r>
              <w:rPr>
                <w:rFonts w:hAnsi="宋体"/>
                <w:bCs/>
                <w:color w:val="000000"/>
                <w:kern w:val="0"/>
                <w:sz w:val="18"/>
                <w:szCs w:val="18"/>
                <w:highlight w:val="cyan"/>
              </w:rPr>
              <w:t>1</w:t>
            </w:r>
            <w:r>
              <w:rPr>
                <w:rFonts w:hint="eastAsia" w:hAnsi="宋体"/>
                <w:bCs/>
                <w:color w:val="000000"/>
                <w:kern w:val="0"/>
                <w:sz w:val="18"/>
                <w:szCs w:val="18"/>
                <w:highlight w:val="cyan"/>
              </w:rPr>
              <w:t>学分。</w:t>
            </w:r>
          </w:p>
          <w:p>
            <w:pPr>
              <w:shd w:val="clear" w:color="auto" w:fill="FFFFFF"/>
              <w:rPr>
                <w:rFonts w:hAnsi="宋体"/>
                <w:bCs/>
                <w:color w:val="000000"/>
                <w:kern w:val="0"/>
                <w:sz w:val="18"/>
                <w:szCs w:val="18"/>
              </w:rPr>
            </w:pPr>
            <w:r>
              <w:rPr>
                <w:rFonts w:hAnsi="宋体"/>
                <w:bCs/>
                <w:color w:val="000000"/>
                <w:kern w:val="0"/>
                <w:sz w:val="18"/>
                <w:szCs w:val="18"/>
              </w:rPr>
              <w:t xml:space="preserve">    </w:t>
            </w:r>
            <w:r>
              <w:rPr>
                <w:rFonts w:hint="eastAsia" w:hAnsi="宋体"/>
                <w:bCs/>
                <w:color w:val="000000"/>
                <w:kern w:val="0"/>
                <w:sz w:val="18"/>
                <w:szCs w:val="18"/>
              </w:rPr>
              <w:t>参加实践训练的研究生须撰写不少于</w:t>
            </w:r>
            <w:r>
              <w:rPr>
                <w:rFonts w:hAnsi="宋体"/>
                <w:bCs/>
                <w:color w:val="000000"/>
                <w:kern w:val="0"/>
                <w:sz w:val="18"/>
                <w:szCs w:val="18"/>
              </w:rPr>
              <w:t>5000</w:t>
            </w:r>
            <w:r>
              <w:rPr>
                <w:rFonts w:hint="eastAsia" w:hAnsi="宋体"/>
                <w:bCs/>
                <w:color w:val="000000"/>
                <w:kern w:val="0"/>
                <w:sz w:val="18"/>
                <w:szCs w:val="18"/>
              </w:rPr>
              <w:t>字的实践研究总结报告，填写《实践训练表》、进行实践训练答辩会。学院组织相关学科成立考核小组，考核小组根据研究生实践工作量、综合表现及实践单位反馈意见等，评定研究生的实践研究效果。经学院考核通过者方可取得相应学分。</w:t>
            </w:r>
          </w:p>
          <w:p>
            <w:pPr>
              <w:shd w:val="clear" w:color="auto" w:fill="FFFFFF"/>
              <w:rPr>
                <w:b/>
                <w:bCs/>
                <w:color w:val="000000"/>
                <w:kern w:val="0"/>
                <w:sz w:val="18"/>
                <w:szCs w:val="18"/>
              </w:rPr>
            </w:pPr>
          </w:p>
          <w:p>
            <w:pPr>
              <w:shd w:val="clear" w:color="auto" w:fill="FFFFFF"/>
              <w:rPr>
                <w:rFonts w:hAnsi="宋体"/>
                <w:b/>
                <w:bCs/>
                <w:color w:val="000000"/>
                <w:kern w:val="0"/>
                <w:sz w:val="18"/>
                <w:szCs w:val="18"/>
              </w:rPr>
            </w:pPr>
            <w:r>
              <w:rPr>
                <w:rFonts w:hint="eastAsia" w:hAnsi="宋体"/>
                <w:b/>
                <w:bCs/>
                <w:color w:val="000000"/>
                <w:kern w:val="0"/>
                <w:sz w:val="18"/>
                <w:szCs w:val="18"/>
              </w:rPr>
              <w:t>（四）学术交流</w:t>
            </w:r>
          </w:p>
          <w:p>
            <w:pPr>
              <w:shd w:val="clear" w:color="auto" w:fill="FFFFFF"/>
              <w:ind w:firstLine="360" w:firstLineChars="200"/>
              <w:rPr>
                <w:rFonts w:ascii="宋体"/>
                <w:color w:val="000000"/>
                <w:kern w:val="0"/>
                <w:sz w:val="18"/>
                <w:szCs w:val="18"/>
              </w:rPr>
            </w:pPr>
            <w:r>
              <w:rPr>
                <w:rFonts w:hint="eastAsia" w:ascii="宋体" w:hAnsi="宋体"/>
                <w:color w:val="000000"/>
                <w:kern w:val="0"/>
                <w:sz w:val="18"/>
                <w:szCs w:val="18"/>
              </w:rPr>
              <w:t>参加行业相关会议</w:t>
            </w:r>
            <w:r>
              <w:rPr>
                <w:rFonts w:ascii="宋体" w:hAnsi="宋体"/>
                <w:color w:val="000000"/>
                <w:kern w:val="0"/>
                <w:sz w:val="18"/>
                <w:szCs w:val="18"/>
              </w:rPr>
              <w:t>3</w:t>
            </w:r>
            <w:r>
              <w:rPr>
                <w:rFonts w:hint="eastAsia" w:ascii="宋体" w:hAnsi="宋体"/>
                <w:color w:val="000000"/>
                <w:kern w:val="0"/>
                <w:sz w:val="18"/>
                <w:szCs w:val="18"/>
              </w:rPr>
              <w:t>次以上；或参与企业相关技术研发等。获</w:t>
            </w:r>
            <w:r>
              <w:rPr>
                <w:rFonts w:ascii="宋体" w:hAnsi="宋体"/>
                <w:color w:val="000000"/>
                <w:kern w:val="0"/>
                <w:sz w:val="18"/>
                <w:szCs w:val="18"/>
              </w:rPr>
              <w:t>1</w:t>
            </w:r>
            <w:r>
              <w:rPr>
                <w:rFonts w:hint="eastAsia" w:ascii="宋体" w:hAnsi="宋体"/>
                <w:color w:val="000000"/>
                <w:kern w:val="0"/>
                <w:sz w:val="18"/>
                <w:szCs w:val="18"/>
              </w:rPr>
              <w:t>学分。</w:t>
            </w:r>
            <w:bookmarkStart w:id="0" w:name="_GoBack"/>
            <w:bookmarkEnd w:id="0"/>
          </w:p>
          <w:p>
            <w:pPr>
              <w:shd w:val="clear" w:color="auto" w:fill="FFFFFF"/>
              <w:ind w:firstLine="361" w:firstLineChars="200"/>
              <w:rPr>
                <w:b/>
                <w:bCs/>
                <w:color w:val="000000"/>
                <w:kern w:val="0"/>
                <w:sz w:val="18"/>
                <w:szCs w:val="18"/>
              </w:rPr>
            </w:pPr>
          </w:p>
          <w:p>
            <w:pPr>
              <w:shd w:val="clear" w:color="auto" w:fill="FFFFFF"/>
              <w:rPr>
                <w:rFonts w:hAnsi="宋体"/>
                <w:b/>
                <w:bCs/>
                <w:color w:val="000000"/>
                <w:kern w:val="0"/>
                <w:sz w:val="18"/>
                <w:szCs w:val="18"/>
              </w:rPr>
            </w:pPr>
            <w:r>
              <w:rPr>
                <w:rFonts w:hint="eastAsia" w:hAnsi="宋体"/>
                <w:b/>
                <w:bCs/>
                <w:color w:val="000000"/>
                <w:kern w:val="0"/>
                <w:sz w:val="18"/>
                <w:szCs w:val="18"/>
              </w:rPr>
              <w:t>（五）撰写文献综述或专题报告</w:t>
            </w:r>
          </w:p>
          <w:p>
            <w:pPr>
              <w:shd w:val="clear" w:color="auto" w:fill="FFFFFF"/>
              <w:ind w:firstLine="360" w:firstLineChars="200"/>
              <w:rPr>
                <w:b/>
                <w:bCs/>
                <w:color w:val="000000"/>
                <w:kern w:val="0"/>
                <w:sz w:val="18"/>
                <w:szCs w:val="18"/>
              </w:rPr>
            </w:pPr>
            <w:r>
              <w:rPr>
                <w:rFonts w:hint="eastAsia" w:ascii="宋体" w:hAnsi="宋体"/>
                <w:color w:val="000000"/>
                <w:kern w:val="0"/>
                <w:sz w:val="18"/>
                <w:szCs w:val="18"/>
              </w:rPr>
              <w:t>广泛阅读研究文献，至少撰写与毕业论文相关的读书报告</w:t>
            </w:r>
            <w:r>
              <w:rPr>
                <w:rFonts w:ascii="宋体" w:hAnsi="宋体"/>
                <w:color w:val="000000"/>
                <w:kern w:val="0"/>
                <w:sz w:val="18"/>
                <w:szCs w:val="18"/>
              </w:rPr>
              <w:t>1</w:t>
            </w:r>
            <w:r>
              <w:rPr>
                <w:rFonts w:hint="eastAsia" w:ascii="宋体" w:hAnsi="宋体"/>
                <w:color w:val="000000"/>
                <w:kern w:val="0"/>
                <w:sz w:val="18"/>
                <w:szCs w:val="18"/>
              </w:rPr>
              <w:t>篇或文献综述</w:t>
            </w:r>
            <w:r>
              <w:rPr>
                <w:rFonts w:ascii="宋体" w:hAnsi="宋体"/>
                <w:color w:val="000000"/>
                <w:kern w:val="0"/>
                <w:sz w:val="18"/>
                <w:szCs w:val="18"/>
              </w:rPr>
              <w:t>1</w:t>
            </w:r>
            <w:r>
              <w:rPr>
                <w:rFonts w:hint="eastAsia" w:ascii="宋体" w:hAnsi="宋体"/>
                <w:color w:val="000000"/>
                <w:kern w:val="0"/>
                <w:sz w:val="18"/>
                <w:szCs w:val="18"/>
              </w:rPr>
              <w:t>篇。获</w:t>
            </w:r>
            <w:r>
              <w:rPr>
                <w:rFonts w:ascii="宋体" w:hAnsi="宋体"/>
                <w:color w:val="000000"/>
                <w:kern w:val="0"/>
                <w:sz w:val="18"/>
                <w:szCs w:val="18"/>
              </w:rPr>
              <w:t>1</w:t>
            </w:r>
            <w:r>
              <w:rPr>
                <w:rFonts w:hint="eastAsia" w:ascii="宋体" w:hAnsi="宋体"/>
                <w:color w:val="000000"/>
                <w:kern w:val="0"/>
                <w:sz w:val="18"/>
                <w:szCs w:val="18"/>
              </w:rPr>
              <w:t>学分。</w:t>
            </w:r>
          </w:p>
          <w:p>
            <w:pPr>
              <w:shd w:val="clear" w:color="auto" w:fill="FFFFFF"/>
              <w:rPr>
                <w:b/>
                <w:bCs/>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widowControl/>
              <w:shd w:val="clear" w:color="auto" w:fill="FFFFFF"/>
              <w:rPr>
                <w:rFonts w:ascii="黑体" w:hAnsi="黑体" w:eastAsia="黑体"/>
                <w:b/>
                <w:bCs/>
                <w:color w:val="000000"/>
                <w:kern w:val="0"/>
                <w:szCs w:val="21"/>
              </w:rPr>
            </w:pPr>
            <w:r>
              <w:rPr>
                <w:rFonts w:hint="eastAsia" w:ascii="黑体" w:hAnsi="黑体" w:eastAsia="黑体"/>
                <w:b/>
                <w:bCs/>
                <w:color w:val="000000"/>
                <w:kern w:val="0"/>
                <w:szCs w:val="21"/>
              </w:rPr>
              <w:t>四、研究生科研成果要求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shd w:val="clear" w:color="auto" w:fill="FFFFFF"/>
              <w:adjustRightInd w:val="0"/>
              <w:snapToGrid w:val="0"/>
              <w:spacing w:line="360" w:lineRule="auto"/>
              <w:ind w:firstLine="360" w:firstLineChars="200"/>
              <w:jc w:val="left"/>
              <w:rPr>
                <w:bCs/>
                <w:color w:val="000000"/>
                <w:kern w:val="0"/>
                <w:sz w:val="18"/>
                <w:szCs w:val="18"/>
              </w:rPr>
            </w:pPr>
            <w:r>
              <w:rPr>
                <w:rFonts w:hint="eastAsia" w:ascii="宋体"/>
                <w:bCs/>
                <w:kern w:val="0"/>
                <w:sz w:val="18"/>
              </w:rPr>
              <w:t>全日制研究生在学院学位评定分委员会讨论建议授予学位前，</w:t>
            </w:r>
            <w:r>
              <w:rPr>
                <w:rFonts w:hint="eastAsia"/>
                <w:bCs/>
                <w:color w:val="000000"/>
                <w:kern w:val="0"/>
                <w:sz w:val="18"/>
                <w:szCs w:val="18"/>
              </w:rPr>
              <w:t>必须完成以下科研成果之一：</w:t>
            </w:r>
          </w:p>
          <w:p>
            <w:pPr>
              <w:shd w:val="clear" w:color="auto" w:fill="FFFFFF"/>
              <w:adjustRightInd w:val="0"/>
              <w:snapToGrid w:val="0"/>
              <w:spacing w:line="360" w:lineRule="auto"/>
              <w:ind w:firstLine="360" w:firstLineChars="200"/>
              <w:jc w:val="left"/>
              <w:rPr>
                <w:bCs/>
                <w:color w:val="000000"/>
                <w:kern w:val="0"/>
                <w:sz w:val="18"/>
                <w:szCs w:val="18"/>
              </w:rPr>
            </w:pPr>
            <w:r>
              <w:rPr>
                <w:rFonts w:hint="eastAsia"/>
                <w:bCs/>
                <w:color w:val="000000"/>
                <w:kern w:val="0"/>
                <w:sz w:val="18"/>
                <w:szCs w:val="18"/>
              </w:rPr>
              <w:t>1、以第一作者在中文期刊发表（含接收）1篇与本专业相关论文，第一署名单位为华南农业大学；</w:t>
            </w:r>
          </w:p>
          <w:p>
            <w:pPr>
              <w:shd w:val="clear" w:color="auto" w:fill="FFFFFF"/>
              <w:adjustRightInd w:val="0"/>
              <w:snapToGrid w:val="0"/>
              <w:spacing w:line="360" w:lineRule="auto"/>
              <w:ind w:firstLine="360" w:firstLineChars="200"/>
              <w:jc w:val="left"/>
              <w:rPr>
                <w:bCs/>
                <w:color w:val="000000"/>
                <w:kern w:val="0"/>
                <w:sz w:val="18"/>
                <w:szCs w:val="18"/>
              </w:rPr>
            </w:pPr>
            <w:r>
              <w:rPr>
                <w:rFonts w:hint="eastAsia"/>
                <w:bCs/>
                <w:color w:val="000000"/>
                <w:kern w:val="0"/>
                <w:sz w:val="18"/>
                <w:szCs w:val="18"/>
              </w:rPr>
              <w:t>2、主持或参与</w:t>
            </w:r>
            <w:r>
              <w:rPr>
                <w:bCs/>
                <w:color w:val="000000"/>
                <w:kern w:val="0"/>
                <w:sz w:val="18"/>
                <w:szCs w:val="18"/>
              </w:rPr>
              <w:t>申请</w:t>
            </w:r>
            <w:r>
              <w:rPr>
                <w:rFonts w:hint="eastAsia"/>
                <w:bCs/>
                <w:color w:val="000000"/>
                <w:kern w:val="0"/>
                <w:sz w:val="18"/>
                <w:szCs w:val="18"/>
              </w:rPr>
              <w:t>1项</w:t>
            </w:r>
            <w:r>
              <w:rPr>
                <w:bCs/>
                <w:color w:val="000000"/>
                <w:kern w:val="0"/>
                <w:sz w:val="18"/>
                <w:szCs w:val="18"/>
              </w:rPr>
              <w:t>专利</w:t>
            </w:r>
            <w:r>
              <w:rPr>
                <w:rFonts w:hint="eastAsia"/>
                <w:bCs/>
                <w:color w:val="000000"/>
                <w:kern w:val="0"/>
                <w:sz w:val="18"/>
                <w:szCs w:val="18"/>
              </w:rPr>
              <w:t>，获得</w:t>
            </w:r>
            <w:r>
              <w:rPr>
                <w:bCs/>
                <w:color w:val="000000"/>
                <w:kern w:val="0"/>
                <w:sz w:val="18"/>
                <w:szCs w:val="18"/>
              </w:rPr>
              <w:t>正式受理</w:t>
            </w:r>
            <w:r>
              <w:rPr>
                <w:rFonts w:hint="eastAsia"/>
                <w:bCs/>
                <w:color w:val="000000"/>
                <w:kern w:val="0"/>
                <w:sz w:val="18"/>
                <w:szCs w:val="18"/>
              </w:rPr>
              <w:t>通知书。</w:t>
            </w:r>
          </w:p>
          <w:p>
            <w:pPr>
              <w:shd w:val="clear" w:color="auto" w:fill="FFFFFF"/>
              <w:adjustRightInd w:val="0"/>
              <w:snapToGrid w:val="0"/>
              <w:spacing w:line="360" w:lineRule="auto"/>
              <w:ind w:firstLine="360" w:firstLineChars="200"/>
              <w:jc w:val="left"/>
              <w:rPr>
                <w:rFonts w:ascii="宋体"/>
                <w:color w:val="000000"/>
                <w:kern w:val="0"/>
                <w:sz w:val="18"/>
                <w:szCs w:val="18"/>
              </w:rPr>
            </w:pPr>
            <w:r>
              <w:rPr>
                <w:rFonts w:hint="eastAsia"/>
                <w:bCs/>
                <w:color w:val="000000"/>
                <w:kern w:val="0"/>
                <w:sz w:val="18"/>
                <w:szCs w:val="18"/>
              </w:rPr>
              <w:t>非全日制研究生不作要求。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shd w:val="clear" w:color="auto" w:fill="FFFFFF"/>
              <w:rPr>
                <w:rFonts w:ascii="黑体" w:hAnsi="黑体" w:eastAsia="黑体"/>
                <w:b/>
                <w:bCs/>
                <w:color w:val="000000"/>
                <w:kern w:val="0"/>
                <w:szCs w:val="21"/>
              </w:rPr>
            </w:pPr>
            <w:r>
              <w:rPr>
                <w:rFonts w:hint="eastAsia" w:ascii="黑体" w:hAnsi="黑体" w:eastAsia="黑体"/>
                <w:b/>
                <w:bCs/>
                <w:color w:val="000000"/>
                <w:kern w:val="0"/>
                <w:szCs w:val="21"/>
              </w:rPr>
              <w:t>五、毕业与学位授予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89" w:type="dxa"/>
            <w:gridSpan w:val="12"/>
            <w:vAlign w:val="center"/>
          </w:tcPr>
          <w:p>
            <w:pPr>
              <w:shd w:val="clear" w:color="auto" w:fill="FFFFFF"/>
              <w:ind w:firstLine="360" w:firstLineChars="200"/>
              <w:rPr>
                <w:bCs/>
                <w:color w:val="000000"/>
                <w:kern w:val="0"/>
                <w:sz w:val="18"/>
                <w:szCs w:val="18"/>
              </w:rPr>
            </w:pPr>
            <w:r>
              <w:rPr>
                <w:bCs/>
                <w:color w:val="000000"/>
                <w:kern w:val="0"/>
                <w:sz w:val="18"/>
                <w:szCs w:val="18"/>
              </w:rPr>
              <w:t>达到学校培养方案规定的课程学分、培养环节要求、完成毕业论文或学位论文的研究生，可参加毕业论文或学位论文答辩，通过毕业论文或学位论文答辩者准予毕业，通过学位论文答辩并达到学位授予标准者可授予学位。最长年限内参加答辩但未通过者作结业处理；未达到研究生课程学分及培养环节有关要求的作肄业处理。</w:t>
            </w:r>
          </w:p>
        </w:tc>
      </w:tr>
    </w:tbl>
    <w:p>
      <w:pPr>
        <w:widowControl/>
        <w:shd w:val="clear" w:color="auto" w:fill="FFFFFF"/>
        <w:jc w:val="left"/>
        <w:rPr>
          <w:color w:val="000000"/>
          <w:spacing w:val="15"/>
          <w:kern w:val="0"/>
          <w:sz w:val="18"/>
          <w:szCs w:val="18"/>
        </w:rPr>
      </w:pP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A49"/>
    <w:rsid w:val="00001B84"/>
    <w:rsid w:val="0000348D"/>
    <w:rsid w:val="00003941"/>
    <w:rsid w:val="00012DBB"/>
    <w:rsid w:val="00014621"/>
    <w:rsid w:val="00017E86"/>
    <w:rsid w:val="0002190E"/>
    <w:rsid w:val="00027A48"/>
    <w:rsid w:val="00035A9F"/>
    <w:rsid w:val="0004517F"/>
    <w:rsid w:val="00046D79"/>
    <w:rsid w:val="00051260"/>
    <w:rsid w:val="00064B68"/>
    <w:rsid w:val="00082D68"/>
    <w:rsid w:val="00083FAD"/>
    <w:rsid w:val="000C600E"/>
    <w:rsid w:val="000D1812"/>
    <w:rsid w:val="000E0CDD"/>
    <w:rsid w:val="000E6358"/>
    <w:rsid w:val="00102B69"/>
    <w:rsid w:val="00141B4D"/>
    <w:rsid w:val="001454B7"/>
    <w:rsid w:val="00167CC5"/>
    <w:rsid w:val="00183AB7"/>
    <w:rsid w:val="00190CB1"/>
    <w:rsid w:val="0019735C"/>
    <w:rsid w:val="001B2C46"/>
    <w:rsid w:val="001B3810"/>
    <w:rsid w:val="001B5371"/>
    <w:rsid w:val="001C4D8C"/>
    <w:rsid w:val="001C5238"/>
    <w:rsid w:val="001C6A9A"/>
    <w:rsid w:val="001D7A5C"/>
    <w:rsid w:val="001E44F2"/>
    <w:rsid w:val="001E646B"/>
    <w:rsid w:val="001F61FB"/>
    <w:rsid w:val="00205740"/>
    <w:rsid w:val="00210AEE"/>
    <w:rsid w:val="00212327"/>
    <w:rsid w:val="002168C2"/>
    <w:rsid w:val="00224755"/>
    <w:rsid w:val="00230AF5"/>
    <w:rsid w:val="00251B64"/>
    <w:rsid w:val="00254A07"/>
    <w:rsid w:val="00265C1E"/>
    <w:rsid w:val="00275142"/>
    <w:rsid w:val="00287F69"/>
    <w:rsid w:val="00293FC8"/>
    <w:rsid w:val="00296C99"/>
    <w:rsid w:val="002A28C1"/>
    <w:rsid w:val="002B3798"/>
    <w:rsid w:val="002C4BEA"/>
    <w:rsid w:val="002D6C84"/>
    <w:rsid w:val="002F3037"/>
    <w:rsid w:val="002F38F3"/>
    <w:rsid w:val="002F7E7A"/>
    <w:rsid w:val="00302A67"/>
    <w:rsid w:val="003060AC"/>
    <w:rsid w:val="00313922"/>
    <w:rsid w:val="00324ABF"/>
    <w:rsid w:val="003257C9"/>
    <w:rsid w:val="00332096"/>
    <w:rsid w:val="00333227"/>
    <w:rsid w:val="0033739C"/>
    <w:rsid w:val="003453B2"/>
    <w:rsid w:val="0035206D"/>
    <w:rsid w:val="00353E38"/>
    <w:rsid w:val="00362A49"/>
    <w:rsid w:val="003644E7"/>
    <w:rsid w:val="003732E4"/>
    <w:rsid w:val="003A006D"/>
    <w:rsid w:val="003A4EBF"/>
    <w:rsid w:val="003A4F6C"/>
    <w:rsid w:val="003A7A9C"/>
    <w:rsid w:val="003B35EA"/>
    <w:rsid w:val="003C63F0"/>
    <w:rsid w:val="003D13F5"/>
    <w:rsid w:val="00410BE9"/>
    <w:rsid w:val="00424B23"/>
    <w:rsid w:val="004265D1"/>
    <w:rsid w:val="004414D1"/>
    <w:rsid w:val="0045623F"/>
    <w:rsid w:val="00490BC0"/>
    <w:rsid w:val="00490C9C"/>
    <w:rsid w:val="004B150A"/>
    <w:rsid w:val="004B5395"/>
    <w:rsid w:val="004C7715"/>
    <w:rsid w:val="004E0831"/>
    <w:rsid w:val="004F4232"/>
    <w:rsid w:val="004F5A86"/>
    <w:rsid w:val="0050577F"/>
    <w:rsid w:val="005071BB"/>
    <w:rsid w:val="005167D9"/>
    <w:rsid w:val="00522110"/>
    <w:rsid w:val="005247EE"/>
    <w:rsid w:val="00535486"/>
    <w:rsid w:val="00560B46"/>
    <w:rsid w:val="005636B4"/>
    <w:rsid w:val="00573CBE"/>
    <w:rsid w:val="00593282"/>
    <w:rsid w:val="00595995"/>
    <w:rsid w:val="00596749"/>
    <w:rsid w:val="00597A81"/>
    <w:rsid w:val="005B705D"/>
    <w:rsid w:val="005E27D1"/>
    <w:rsid w:val="005F497E"/>
    <w:rsid w:val="006032F8"/>
    <w:rsid w:val="00607721"/>
    <w:rsid w:val="006223C5"/>
    <w:rsid w:val="0063794A"/>
    <w:rsid w:val="006420C3"/>
    <w:rsid w:val="0064588B"/>
    <w:rsid w:val="0065757B"/>
    <w:rsid w:val="0068519C"/>
    <w:rsid w:val="00686C4D"/>
    <w:rsid w:val="00695C02"/>
    <w:rsid w:val="006B12DC"/>
    <w:rsid w:val="006B2321"/>
    <w:rsid w:val="006B5A8D"/>
    <w:rsid w:val="006B7594"/>
    <w:rsid w:val="006C0C24"/>
    <w:rsid w:val="006C1F73"/>
    <w:rsid w:val="006C7978"/>
    <w:rsid w:val="006E5154"/>
    <w:rsid w:val="006F3533"/>
    <w:rsid w:val="006F65DE"/>
    <w:rsid w:val="007032CF"/>
    <w:rsid w:val="0070702B"/>
    <w:rsid w:val="00721809"/>
    <w:rsid w:val="007437E6"/>
    <w:rsid w:val="00744054"/>
    <w:rsid w:val="007443E5"/>
    <w:rsid w:val="00746D22"/>
    <w:rsid w:val="00747778"/>
    <w:rsid w:val="0075567C"/>
    <w:rsid w:val="00755D0C"/>
    <w:rsid w:val="00761C6D"/>
    <w:rsid w:val="0076586B"/>
    <w:rsid w:val="00784F03"/>
    <w:rsid w:val="007951E4"/>
    <w:rsid w:val="007E0FC0"/>
    <w:rsid w:val="00803EE9"/>
    <w:rsid w:val="008111DC"/>
    <w:rsid w:val="008127E5"/>
    <w:rsid w:val="00816A90"/>
    <w:rsid w:val="00854776"/>
    <w:rsid w:val="0085516D"/>
    <w:rsid w:val="00860C3D"/>
    <w:rsid w:val="0087541A"/>
    <w:rsid w:val="00876B38"/>
    <w:rsid w:val="00883B67"/>
    <w:rsid w:val="00891E93"/>
    <w:rsid w:val="0089538E"/>
    <w:rsid w:val="008B419F"/>
    <w:rsid w:val="008C1C76"/>
    <w:rsid w:val="008D12DF"/>
    <w:rsid w:val="008D7BCC"/>
    <w:rsid w:val="008E077C"/>
    <w:rsid w:val="008F3E12"/>
    <w:rsid w:val="008F4138"/>
    <w:rsid w:val="00924211"/>
    <w:rsid w:val="00926A7D"/>
    <w:rsid w:val="00937B57"/>
    <w:rsid w:val="00947E49"/>
    <w:rsid w:val="009547FE"/>
    <w:rsid w:val="00962CB4"/>
    <w:rsid w:val="00972E5A"/>
    <w:rsid w:val="00975011"/>
    <w:rsid w:val="0099310A"/>
    <w:rsid w:val="00993905"/>
    <w:rsid w:val="009A1D36"/>
    <w:rsid w:val="009A763B"/>
    <w:rsid w:val="009B72EE"/>
    <w:rsid w:val="009C6334"/>
    <w:rsid w:val="009E5A30"/>
    <w:rsid w:val="009F460D"/>
    <w:rsid w:val="00A04E4D"/>
    <w:rsid w:val="00A12EF5"/>
    <w:rsid w:val="00A144DC"/>
    <w:rsid w:val="00A16448"/>
    <w:rsid w:val="00A30E03"/>
    <w:rsid w:val="00A45123"/>
    <w:rsid w:val="00A4643D"/>
    <w:rsid w:val="00A74F60"/>
    <w:rsid w:val="00A930B7"/>
    <w:rsid w:val="00AA6C24"/>
    <w:rsid w:val="00AC3E66"/>
    <w:rsid w:val="00AD39A8"/>
    <w:rsid w:val="00AE5195"/>
    <w:rsid w:val="00B13015"/>
    <w:rsid w:val="00B22421"/>
    <w:rsid w:val="00B23CE4"/>
    <w:rsid w:val="00B23E0E"/>
    <w:rsid w:val="00B2474E"/>
    <w:rsid w:val="00B42EF1"/>
    <w:rsid w:val="00B536A9"/>
    <w:rsid w:val="00B53967"/>
    <w:rsid w:val="00B61D8E"/>
    <w:rsid w:val="00B80A37"/>
    <w:rsid w:val="00B9073E"/>
    <w:rsid w:val="00B96139"/>
    <w:rsid w:val="00BA1AA2"/>
    <w:rsid w:val="00BA32E2"/>
    <w:rsid w:val="00BA6E77"/>
    <w:rsid w:val="00BB425C"/>
    <w:rsid w:val="00BC0522"/>
    <w:rsid w:val="00BC16FB"/>
    <w:rsid w:val="00BD1C7F"/>
    <w:rsid w:val="00BE3BF3"/>
    <w:rsid w:val="00BE6402"/>
    <w:rsid w:val="00BE69DF"/>
    <w:rsid w:val="00BE751A"/>
    <w:rsid w:val="00BF08A8"/>
    <w:rsid w:val="00C02367"/>
    <w:rsid w:val="00C04604"/>
    <w:rsid w:val="00C25FB5"/>
    <w:rsid w:val="00C3057D"/>
    <w:rsid w:val="00C3332F"/>
    <w:rsid w:val="00C406A0"/>
    <w:rsid w:val="00C70DA5"/>
    <w:rsid w:val="00C76839"/>
    <w:rsid w:val="00C81AD1"/>
    <w:rsid w:val="00C92E7F"/>
    <w:rsid w:val="00CB0ECD"/>
    <w:rsid w:val="00CB2F4A"/>
    <w:rsid w:val="00CD5138"/>
    <w:rsid w:val="00CE27EB"/>
    <w:rsid w:val="00CF4A3E"/>
    <w:rsid w:val="00D001BA"/>
    <w:rsid w:val="00D016A3"/>
    <w:rsid w:val="00D034B6"/>
    <w:rsid w:val="00D06B8D"/>
    <w:rsid w:val="00D06DE1"/>
    <w:rsid w:val="00D1739B"/>
    <w:rsid w:val="00D32C69"/>
    <w:rsid w:val="00D36ABA"/>
    <w:rsid w:val="00D41596"/>
    <w:rsid w:val="00D53EEE"/>
    <w:rsid w:val="00D6009B"/>
    <w:rsid w:val="00D60538"/>
    <w:rsid w:val="00D64910"/>
    <w:rsid w:val="00D70893"/>
    <w:rsid w:val="00D8366A"/>
    <w:rsid w:val="00D86171"/>
    <w:rsid w:val="00D923A0"/>
    <w:rsid w:val="00D95219"/>
    <w:rsid w:val="00D95B3B"/>
    <w:rsid w:val="00DD5B22"/>
    <w:rsid w:val="00DE10BF"/>
    <w:rsid w:val="00DF6BBE"/>
    <w:rsid w:val="00E017B7"/>
    <w:rsid w:val="00E22DBC"/>
    <w:rsid w:val="00E27DA1"/>
    <w:rsid w:val="00E43A1D"/>
    <w:rsid w:val="00E50BA0"/>
    <w:rsid w:val="00E52552"/>
    <w:rsid w:val="00E64B48"/>
    <w:rsid w:val="00EA0CFB"/>
    <w:rsid w:val="00EB11C9"/>
    <w:rsid w:val="00EC4097"/>
    <w:rsid w:val="00EE28C0"/>
    <w:rsid w:val="00EE7319"/>
    <w:rsid w:val="00EF58D1"/>
    <w:rsid w:val="00F04DB2"/>
    <w:rsid w:val="00F113DE"/>
    <w:rsid w:val="00F300B3"/>
    <w:rsid w:val="00F34E07"/>
    <w:rsid w:val="00F46ECC"/>
    <w:rsid w:val="00F540B6"/>
    <w:rsid w:val="00F650BE"/>
    <w:rsid w:val="00F70BB0"/>
    <w:rsid w:val="00FB7338"/>
    <w:rsid w:val="00FC6CC2"/>
    <w:rsid w:val="00FF7478"/>
    <w:rsid w:val="049A2853"/>
    <w:rsid w:val="280D040C"/>
    <w:rsid w:val="3B091243"/>
    <w:rsid w:val="3B3F250F"/>
    <w:rsid w:val="45337F62"/>
    <w:rsid w:val="45A16A44"/>
    <w:rsid w:val="502B76C6"/>
    <w:rsid w:val="50C93DDF"/>
    <w:rsid w:val="57A33D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1"/>
    <w:uiPriority w:val="99"/>
    <w:pPr>
      <w:jc w:val="left"/>
    </w:pPr>
  </w:style>
  <w:style w:type="paragraph" w:styleId="3">
    <w:name w:val="Balloon Text"/>
    <w:basedOn w:val="1"/>
    <w:link w:val="12"/>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uiPriority w:val="99"/>
    <w:rPr>
      <w:rFonts w:cs="Times New Roman"/>
    </w:rPr>
  </w:style>
  <w:style w:type="character" w:styleId="10">
    <w:name w:val="annotation reference"/>
    <w:qFormat/>
    <w:uiPriority w:val="99"/>
    <w:rPr>
      <w:rFonts w:cs="Times New Roman"/>
      <w:sz w:val="21"/>
      <w:szCs w:val="21"/>
    </w:rPr>
  </w:style>
  <w:style w:type="character" w:customStyle="1" w:styleId="11">
    <w:name w:val="批注文字 Char"/>
    <w:link w:val="2"/>
    <w:semiHidden/>
    <w:uiPriority w:val="99"/>
    <w:rPr>
      <w:szCs w:val="24"/>
    </w:rPr>
  </w:style>
  <w:style w:type="character" w:customStyle="1" w:styleId="12">
    <w:name w:val="批注框文本 Char"/>
    <w:link w:val="3"/>
    <w:locked/>
    <w:uiPriority w:val="99"/>
    <w:rPr>
      <w:kern w:val="2"/>
      <w:sz w:val="18"/>
    </w:rPr>
  </w:style>
  <w:style w:type="character" w:customStyle="1" w:styleId="13">
    <w:name w:val="页脚 Char"/>
    <w:link w:val="4"/>
    <w:semiHidden/>
    <w:uiPriority w:val="99"/>
    <w:rPr>
      <w:sz w:val="18"/>
      <w:szCs w:val="18"/>
    </w:rPr>
  </w:style>
  <w:style w:type="character" w:customStyle="1" w:styleId="14">
    <w:name w:val="页眉 Char"/>
    <w:link w:val="5"/>
    <w:locked/>
    <w:uiPriority w:val="99"/>
    <w:rPr>
      <w:kern w:val="2"/>
      <w:sz w:val="18"/>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华农</Company>
  <Pages>5</Pages>
  <Words>558</Words>
  <Characters>3187</Characters>
  <Lines>26</Lines>
  <Paragraphs>7</Paragraphs>
  <TotalTime>55</TotalTime>
  <ScaleCrop>false</ScaleCrop>
  <LinksUpToDate>false</LinksUpToDate>
  <CharactersWithSpaces>3738</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2018-05-31T07:35:00Z</dcterms:created>
  <dc:creator>侯辉萍</dc:creator>
  <cp:lastModifiedBy>白云</cp:lastModifiedBy>
  <cp:lastPrinted>2018-04-28T04:29:00Z</cp:lastPrinted>
  <dcterms:modified xsi:type="dcterms:W3CDTF">2019-12-30T02:31:01Z</dcterms:modified>
  <dc:title>（生物学-细胞生物学）学科硕士生培养方案 -</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