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广东高校榜样育人精品视频征集和评选活动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16"/>
          <w:szCs w:val="1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B类作品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（包括：创作背景、创作思路、创作目的和作品简介，限300字以内）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240" w:lineRule="auto"/>
        <w:ind w:left="0" w:leftChars="0" w:right="0" w:rightChars="0"/>
        <w:jc w:val="left"/>
        <w:textAlignment w:val="center"/>
      </w:pP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注：请将表格控制在一页之内。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OWNlMjdhZTM4YmU3NzBjMjkwYjRjYzMxYzIxNTEifQ=="/>
  </w:docVars>
  <w:rsids>
    <w:rsidRoot w:val="41F83543"/>
    <w:rsid w:val="04C17856"/>
    <w:rsid w:val="1EDB5C49"/>
    <w:rsid w:val="41F83543"/>
    <w:rsid w:val="62A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2024-02-28T05:57:00Z</dcterms:created>
  <dc:creator>Su Shaodan</dc:creator>
  <cp:lastModifiedBy>Yellow-1</cp:lastModifiedBy>
  <dcterms:modified xsi:type="dcterms:W3CDTF">2024-03-08T04:57:52Z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4EB776CAAF514681A32B4970F9D6D766_13</vt:lpwstr>
  </property>
</Properties>
</file>